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4"/>
          <w:numId w:val="0"/>
        </w:numPr>
      </w:pPr>
    </w:p>
    <w:p>
      <w:pPr>
        <w:spacing w:line="360" w:lineRule="auto"/>
        <w:rPr>
          <w:rFonts w:ascii="宋体" w:hAnsi="宋体" w:cs="宋体"/>
          <w:b/>
          <w:color w:val="000000"/>
          <w:sz w:val="30"/>
          <w:szCs w:val="30"/>
        </w:rPr>
      </w:pPr>
      <w:r>
        <w:rPr>
          <w:rFonts w:hint="eastAsia" w:ascii="宋体" w:hAnsi="宋体" w:cs="宋体"/>
          <w:b/>
          <w:color w:val="000000"/>
          <w:sz w:val="30"/>
          <w:szCs w:val="30"/>
        </w:rPr>
        <w:t>项目编号：YNC-20230</w:t>
      </w:r>
      <w:r>
        <w:rPr>
          <w:rFonts w:ascii="宋体" w:hAnsi="宋体" w:cs="宋体"/>
          <w:b/>
          <w:color w:val="000000"/>
          <w:sz w:val="30"/>
          <w:szCs w:val="30"/>
        </w:rPr>
        <w:t>20</w:t>
      </w:r>
      <w:r>
        <w:rPr>
          <w:rFonts w:hint="eastAsia" w:ascii="宋体" w:hAnsi="宋体" w:cs="宋体"/>
          <w:b/>
          <w:color w:val="000000"/>
          <w:sz w:val="30"/>
          <w:szCs w:val="30"/>
        </w:rPr>
        <w:t xml:space="preserve">号 </w:t>
      </w:r>
    </w:p>
    <w:p>
      <w:pPr>
        <w:spacing w:line="360" w:lineRule="auto"/>
        <w:rPr>
          <w:rFonts w:ascii="宋体" w:hAnsi="宋体" w:cs="宋体"/>
          <w:b/>
          <w:color w:val="000000"/>
          <w:sz w:val="36"/>
          <w:szCs w:val="36"/>
        </w:rPr>
      </w:pPr>
    </w:p>
    <w:p>
      <w:pPr>
        <w:spacing w:line="360" w:lineRule="auto"/>
        <w:jc w:val="center"/>
        <w:rPr>
          <w:rFonts w:ascii="宋体" w:hAnsi="宋体" w:cs="宋体"/>
          <w:b/>
          <w:color w:val="000000"/>
          <w:sz w:val="52"/>
          <w:szCs w:val="52"/>
        </w:rPr>
      </w:pP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绵竹市中医医院</w:t>
      </w:r>
    </w:p>
    <w:p>
      <w:pPr>
        <w:spacing w:line="360" w:lineRule="auto"/>
        <w:jc w:val="center"/>
        <w:rPr>
          <w:rFonts w:ascii="宋体" w:hAnsi="宋体" w:cs="宋体"/>
          <w:b/>
          <w:color w:val="000000"/>
          <w:sz w:val="52"/>
          <w:szCs w:val="52"/>
        </w:rPr>
      </w:pPr>
      <w:r>
        <w:rPr>
          <w:rFonts w:hint="eastAsia" w:ascii="宋体" w:hAnsi="宋体" w:cs="宋体"/>
          <w:b/>
          <w:color w:val="000000"/>
          <w:sz w:val="52"/>
          <w:szCs w:val="52"/>
        </w:rPr>
        <w:t>全院医学装备技术维保服务采购项目竞争性磋商文件</w:t>
      </w:r>
    </w:p>
    <w:p>
      <w:pPr>
        <w:spacing w:line="360" w:lineRule="auto"/>
        <w:rPr>
          <w:rFonts w:ascii="宋体" w:hAnsi="宋体" w:cs="宋体"/>
          <w:b/>
          <w:color w:val="000000"/>
          <w:sz w:val="52"/>
          <w:szCs w:val="52"/>
        </w:rPr>
      </w:pPr>
    </w:p>
    <w:p>
      <w:pPr>
        <w:pStyle w:val="2"/>
      </w:pPr>
    </w:p>
    <w:p>
      <w:pPr>
        <w:pStyle w:val="3"/>
      </w:pPr>
    </w:p>
    <w:p>
      <w:pPr>
        <w:pStyle w:val="3"/>
      </w:pPr>
    </w:p>
    <w:p>
      <w:pPr>
        <w:pStyle w:val="3"/>
      </w:pPr>
    </w:p>
    <w:p>
      <w:pPr>
        <w:pStyle w:val="3"/>
      </w:pPr>
    </w:p>
    <w:p>
      <w:pPr>
        <w:pStyle w:val="3"/>
      </w:pPr>
    </w:p>
    <w:p>
      <w:pPr>
        <w:pStyle w:val="3"/>
      </w:pP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中国·四川(德阳)</w:t>
      </w:r>
    </w:p>
    <w:p>
      <w:pPr>
        <w:spacing w:line="360" w:lineRule="auto"/>
        <w:jc w:val="center"/>
        <w:rPr>
          <w:rFonts w:ascii="宋体" w:hAnsi="宋体" w:cs="宋体"/>
          <w:b/>
          <w:sz w:val="32"/>
          <w:szCs w:val="32"/>
        </w:rPr>
      </w:pPr>
      <w:r>
        <w:rPr>
          <w:rFonts w:hint="eastAsia" w:ascii="宋体" w:hAnsi="宋体" w:cs="宋体"/>
          <w:b/>
          <w:sz w:val="32"/>
          <w:szCs w:val="32"/>
        </w:rPr>
        <mc:AlternateContent>
          <mc:Choice Requires="wps">
            <w:drawing>
              <wp:anchor distT="0" distB="0" distL="114300" distR="114300" simplePos="0" relativeHeight="251659264" behindDoc="1" locked="0" layoutInCell="1" allowOverlap="1">
                <wp:simplePos x="0" y="0"/>
                <wp:positionH relativeFrom="column">
                  <wp:posOffset>4448175</wp:posOffset>
                </wp:positionH>
                <wp:positionV relativeFrom="paragraph">
                  <wp:posOffset>54610</wp:posOffset>
                </wp:positionV>
                <wp:extent cx="1223645" cy="1772285"/>
                <wp:effectExtent l="4445" t="4445" r="10160" b="13970"/>
                <wp:wrapNone/>
                <wp:docPr id="1" name="文本框 2"/>
                <wp:cNvGraphicFramePr/>
                <a:graphic xmlns:a="http://schemas.openxmlformats.org/drawingml/2006/main">
                  <a:graphicData uri="http://schemas.microsoft.com/office/word/2010/wordprocessingShape">
                    <wps:wsp>
                      <wps:cNvSpPr txBox="1"/>
                      <wps:spPr>
                        <a:xfrm>
                          <a:off x="0" y="0"/>
                          <a:ext cx="1223645" cy="17722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36"/>
                                <w:szCs w:val="32"/>
                              </w:rPr>
                            </w:pPr>
                          </w:p>
                        </w:txbxContent>
                      </wps:txbx>
                      <wps:bodyPr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0.25pt;margin-top:4.3pt;height:139.55pt;width:96.35pt;z-index:-251657216;mso-width-relative:page;mso-height-relative:margin;mso-height-percent:200;" fillcolor="#FFFFFF" filled="t" stroked="t" coordsize="21600,21600" o:gfxdata="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XatDdoAAAAJAQAADwAAAAAAAAABACAAAAAiAAAAZHJzL2Rvd25yZXYueG1s&#10;UEsBAhQAFAAAAAgAh07iQIUEDwcvAgAAhAQAAA4AAAAAAAAAAQAgAAAAKQEAAGRycy9lMm9Eb2Mu&#10;eG1sUEsFBgAAAAAGAAYAWQEAAMoFAAAAAA==&#10;">
                <v:fill on="t" focussize="0,0"/>
                <v:stroke color="#FFFFFF" joinstyle="miter"/>
                <v:imagedata o:title=""/>
                <o:lock v:ext="edit" aspectratio="f"/>
                <v:textbox style="mso-fit-shape-to-text:t;">
                  <w:txbxContent>
                    <w:p>
                      <w:pPr>
                        <w:rPr>
                          <w:b/>
                          <w:sz w:val="36"/>
                          <w:szCs w:val="32"/>
                        </w:rPr>
                      </w:pPr>
                    </w:p>
                  </w:txbxContent>
                </v:textbox>
              </v:shape>
            </w:pict>
          </mc:Fallback>
        </mc:AlternateContent>
      </w:r>
      <w:r>
        <w:rPr>
          <w:rFonts w:hint="eastAsia" w:ascii="宋体" w:hAnsi="宋体" w:cs="宋体"/>
          <w:b/>
          <w:sz w:val="32"/>
          <w:szCs w:val="32"/>
        </w:rPr>
        <w:t>绵竹市中医医院（采购人）</w:t>
      </w:r>
    </w:p>
    <w:p>
      <w:pPr>
        <w:spacing w:line="360" w:lineRule="auto"/>
        <w:jc w:val="center"/>
        <w:rPr>
          <w:rFonts w:ascii="宋体" w:hAnsi="宋体" w:cs="宋体"/>
          <w:b/>
          <w:bCs/>
          <w:sz w:val="32"/>
          <w:szCs w:val="32"/>
          <w:lang w:val="zh-CN"/>
        </w:rPr>
      </w:pPr>
      <w:r>
        <w:rPr>
          <w:rFonts w:hint="eastAsia" w:ascii="宋体" w:hAnsi="宋体" w:cs="宋体"/>
          <w:b/>
          <w:sz w:val="30"/>
          <w:szCs w:val="30"/>
        </w:rPr>
        <w:t xml:space="preserve"> 2023</w:t>
      </w:r>
      <w:r>
        <w:rPr>
          <w:rFonts w:hint="eastAsia" w:ascii="宋体" w:hAnsi="宋体" w:cs="宋体"/>
          <w:b/>
          <w:bCs/>
          <w:sz w:val="32"/>
          <w:szCs w:val="32"/>
          <w:lang w:val="zh-CN"/>
        </w:rPr>
        <w:t>年</w:t>
      </w:r>
      <w:r>
        <w:rPr>
          <w:rFonts w:hint="eastAsia" w:ascii="宋体" w:hAnsi="宋体" w:cs="宋体"/>
          <w:b/>
          <w:sz w:val="30"/>
          <w:szCs w:val="30"/>
        </w:rPr>
        <w:t>11</w:t>
      </w:r>
      <w:r>
        <w:rPr>
          <w:rFonts w:hint="eastAsia" w:ascii="宋体" w:hAnsi="宋体" w:cs="宋体"/>
          <w:b/>
          <w:bCs/>
          <w:sz w:val="32"/>
          <w:szCs w:val="32"/>
          <w:lang w:val="zh-CN"/>
        </w:rPr>
        <w:t>月</w:t>
      </w:r>
    </w:p>
    <w:p>
      <w:pPr>
        <w:spacing w:line="360" w:lineRule="auto"/>
        <w:rPr>
          <w:rFonts w:ascii="宋体" w:hAnsi="宋体" w:cs="宋体"/>
          <w:bCs/>
          <w:color w:val="000000"/>
          <w:sz w:val="36"/>
        </w:rPr>
      </w:pPr>
      <w:r>
        <w:rPr>
          <w:rFonts w:hint="eastAsia" w:ascii="宋体" w:hAnsi="宋体" w:cs="宋体"/>
          <w:color w:val="000000"/>
          <w:sz w:val="32"/>
        </w:rPr>
        <w:t xml:space="preserve"> </w:t>
      </w:r>
      <w:bookmarkStart w:id="0" w:name="_Hlt101233737"/>
      <w:bookmarkEnd w:id="0"/>
      <w:bookmarkStart w:id="1" w:name="_Hlt101843627"/>
      <w:bookmarkEnd w:id="1"/>
    </w:p>
    <w:p>
      <w:pPr>
        <w:pStyle w:val="5"/>
        <w:keepNext w:val="0"/>
        <w:keepLines w:val="0"/>
        <w:spacing w:before="0" w:after="0" w:line="360" w:lineRule="auto"/>
        <w:jc w:val="center"/>
        <w:rPr>
          <w:rFonts w:ascii="宋体" w:hAnsi="宋体" w:eastAsia="宋体" w:cs="宋体"/>
          <w:caps/>
          <w:szCs w:val="28"/>
        </w:rPr>
        <w:sectPr>
          <w:headerReference r:id="rId3" w:type="default"/>
          <w:pgSz w:w="11906" w:h="16838"/>
          <w:pgMar w:top="1440" w:right="1800" w:bottom="1440" w:left="1800" w:header="851" w:footer="992" w:gutter="0"/>
          <w:pgNumType w:fmt="numberInDash"/>
          <w:cols w:space="720" w:num="1"/>
          <w:docGrid w:type="lines" w:linePitch="312" w:charSpace="0"/>
        </w:sectPr>
      </w:pPr>
    </w:p>
    <w:p>
      <w:pPr>
        <w:spacing w:line="360" w:lineRule="auto"/>
        <w:rPr>
          <w:rFonts w:ascii="宋体" w:hAnsi="宋体" w:cs="宋体"/>
        </w:rPr>
      </w:pPr>
    </w:p>
    <w:p>
      <w:pPr>
        <w:spacing w:line="360" w:lineRule="auto"/>
        <w:jc w:val="center"/>
        <w:rPr>
          <w:rFonts w:ascii="宋体" w:hAnsi="宋体" w:cs="宋体"/>
          <w:bCs/>
          <w:color w:val="000000"/>
          <w:sz w:val="36"/>
        </w:rPr>
      </w:pPr>
      <w:r>
        <w:rPr>
          <w:rFonts w:hint="eastAsia" w:ascii="宋体" w:hAnsi="宋体" w:cs="宋体"/>
          <w:b/>
          <w:bCs/>
          <w:caps/>
          <w:sz w:val="32"/>
          <w:szCs w:val="28"/>
        </w:rPr>
        <w:t>目    录</w:t>
      </w:r>
    </w:p>
    <w:p>
      <w:pPr>
        <w:pStyle w:val="66"/>
        <w:spacing w:before="0" w:line="360" w:lineRule="auto"/>
        <w:rPr>
          <w:rFonts w:ascii="宋体" w:hAnsi="宋体" w:cs="宋体"/>
        </w:rPr>
      </w:pPr>
    </w:p>
    <w:p>
      <w:pPr>
        <w:pStyle w:val="23"/>
        <w:tabs>
          <w:tab w:val="right" w:leader="dot" w:pos="8296"/>
        </w:tabs>
        <w:spacing w:after="0" w:line="360" w:lineRule="auto"/>
        <w:jc w:val="center"/>
        <w:rPr>
          <w:rFonts w:ascii="宋体" w:hAnsi="宋体" w:cs="宋体"/>
          <w:b/>
          <w:bCs/>
          <w:kern w:val="2"/>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 TOC \o "1-1" \h \z \u </w:instrText>
      </w:r>
      <w:r>
        <w:rPr>
          <w:rFonts w:hint="eastAsia" w:ascii="宋体" w:hAnsi="宋体" w:cs="宋体"/>
          <w:b/>
          <w:bCs/>
          <w:sz w:val="32"/>
          <w:szCs w:val="32"/>
        </w:rPr>
        <w:fldChar w:fldCharType="separate"/>
      </w:r>
      <w:r>
        <w:fldChar w:fldCharType="begin"/>
      </w:r>
      <w:r>
        <w:instrText xml:space="preserve"> HYPERLINK \l "_Toc517447488" </w:instrText>
      </w:r>
      <w:r>
        <w:fldChar w:fldCharType="separate"/>
      </w:r>
      <w:r>
        <w:rPr>
          <w:rStyle w:val="37"/>
          <w:rFonts w:hint="eastAsia" w:ascii="宋体" w:hAnsi="宋体" w:cs="宋体"/>
          <w:b/>
          <w:bCs/>
          <w:sz w:val="32"/>
          <w:szCs w:val="32"/>
        </w:rPr>
        <w:t>第一章  磋商邀请</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_Toc517447488 \h </w:instrText>
      </w:r>
      <w:r>
        <w:rPr>
          <w:rFonts w:hint="eastAsia" w:ascii="宋体" w:hAnsi="宋体" w:cs="宋体"/>
          <w:b/>
          <w:bCs/>
          <w:sz w:val="32"/>
          <w:szCs w:val="32"/>
        </w:rPr>
        <w:fldChar w:fldCharType="separate"/>
      </w:r>
      <w:r>
        <w:rPr>
          <w:rFonts w:hint="eastAsia" w:ascii="宋体" w:hAnsi="宋体" w:cs="宋体"/>
          <w:b/>
          <w:bCs/>
          <w:sz w:val="32"/>
          <w:szCs w:val="32"/>
        </w:rPr>
        <w:t>- 1 -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"_Toc517447489" </w:instrText>
      </w:r>
      <w:r>
        <w:fldChar w:fldCharType="separate"/>
      </w:r>
      <w:r>
        <w:rPr>
          <w:rStyle w:val="37"/>
          <w:rFonts w:hint="eastAsia" w:ascii="宋体" w:hAnsi="宋体" w:cs="宋体"/>
          <w:b/>
          <w:bCs/>
          <w:sz w:val="32"/>
          <w:szCs w:val="32"/>
        </w:rPr>
        <w:t>第二章  磋商须知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_Toc517447489 \h </w:instrText>
      </w:r>
      <w:r>
        <w:rPr>
          <w:rFonts w:hint="eastAsia" w:ascii="宋体" w:hAnsi="宋体" w:cs="宋体"/>
          <w:b/>
          <w:bCs/>
          <w:sz w:val="32"/>
          <w:szCs w:val="32"/>
        </w:rPr>
        <w:fldChar w:fldCharType="separate"/>
      </w:r>
      <w:r>
        <w:rPr>
          <w:rFonts w:hint="eastAsia" w:ascii="宋体" w:hAnsi="宋体" w:cs="宋体"/>
          <w:b/>
          <w:bCs/>
          <w:sz w:val="32"/>
          <w:szCs w:val="32"/>
        </w:rPr>
        <w:t>- 5 -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"_Toc517447490" </w:instrText>
      </w:r>
      <w:r>
        <w:fldChar w:fldCharType="separate"/>
      </w:r>
      <w:r>
        <w:rPr>
          <w:rStyle w:val="37"/>
          <w:rFonts w:hint="eastAsia" w:ascii="宋体" w:hAnsi="宋体" w:cs="宋体"/>
          <w:b/>
          <w:bCs/>
          <w:sz w:val="32"/>
          <w:szCs w:val="32"/>
        </w:rPr>
        <w:t>第三章  供应商资格条件要求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_Toc517447490 \h </w:instrText>
      </w:r>
      <w:r>
        <w:rPr>
          <w:rFonts w:hint="eastAsia" w:ascii="宋体" w:hAnsi="宋体" w:cs="宋体"/>
          <w:b/>
          <w:bCs/>
          <w:sz w:val="32"/>
          <w:szCs w:val="32"/>
        </w:rPr>
        <w:fldChar w:fldCharType="separate"/>
      </w:r>
      <w:r>
        <w:rPr>
          <w:rFonts w:hint="eastAsia" w:ascii="宋体" w:hAnsi="宋体" w:cs="宋体"/>
          <w:b/>
          <w:bCs/>
          <w:sz w:val="32"/>
          <w:szCs w:val="32"/>
        </w:rPr>
        <w:t>- 23 -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"_Toc517447491" </w:instrText>
      </w:r>
      <w:r>
        <w:fldChar w:fldCharType="separate"/>
      </w:r>
      <w:r>
        <w:rPr>
          <w:rStyle w:val="37"/>
          <w:rFonts w:hint="eastAsia" w:ascii="宋体" w:hAnsi="宋体" w:cs="宋体"/>
          <w:b/>
          <w:bCs/>
          <w:sz w:val="32"/>
          <w:szCs w:val="32"/>
        </w:rPr>
        <w:t>第四章  供应商资格证明材料</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_Toc517447491 \h </w:instrText>
      </w:r>
      <w:r>
        <w:rPr>
          <w:rFonts w:hint="eastAsia" w:ascii="宋体" w:hAnsi="宋体" w:cs="宋体"/>
          <w:b/>
          <w:bCs/>
          <w:sz w:val="32"/>
          <w:szCs w:val="32"/>
        </w:rPr>
        <w:fldChar w:fldCharType="separate"/>
      </w:r>
      <w:r>
        <w:rPr>
          <w:rFonts w:hint="eastAsia" w:ascii="宋体" w:hAnsi="宋体" w:cs="宋体"/>
          <w:b/>
          <w:bCs/>
          <w:sz w:val="32"/>
          <w:szCs w:val="32"/>
        </w:rPr>
        <w:t>- 24 -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"_Toc517447492" </w:instrText>
      </w:r>
      <w:r>
        <w:fldChar w:fldCharType="separate"/>
      </w:r>
      <w:r>
        <w:rPr>
          <w:rStyle w:val="37"/>
          <w:rFonts w:hint="eastAsia" w:ascii="宋体" w:hAnsi="宋体" w:cs="宋体"/>
          <w:b/>
          <w:bCs/>
          <w:sz w:val="32"/>
          <w:szCs w:val="32"/>
        </w:rPr>
        <w:t>第五章  采购项目服务、商务及其他要求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_Toc517447492 \h </w:instrText>
      </w:r>
      <w:r>
        <w:rPr>
          <w:rFonts w:hint="eastAsia" w:ascii="宋体" w:hAnsi="宋体" w:cs="宋体"/>
          <w:b/>
          <w:bCs/>
          <w:sz w:val="32"/>
          <w:szCs w:val="32"/>
        </w:rPr>
        <w:fldChar w:fldCharType="separate"/>
      </w:r>
      <w:r>
        <w:rPr>
          <w:rFonts w:hint="eastAsia" w:ascii="宋体" w:hAnsi="宋体" w:cs="宋体"/>
          <w:b/>
          <w:bCs/>
          <w:sz w:val="32"/>
          <w:szCs w:val="32"/>
        </w:rPr>
        <w:t>- 26 -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"_Toc517447493" </w:instrText>
      </w:r>
      <w:r>
        <w:fldChar w:fldCharType="separate"/>
      </w:r>
      <w:r>
        <w:rPr>
          <w:rStyle w:val="37"/>
          <w:rFonts w:hint="eastAsia" w:ascii="宋体" w:hAnsi="宋体" w:cs="宋体"/>
          <w:b/>
          <w:bCs/>
          <w:sz w:val="32"/>
          <w:szCs w:val="32"/>
        </w:rPr>
        <w:t>第六章  响应文件格式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_Toc517447493 \h </w:instrText>
      </w:r>
      <w:r>
        <w:rPr>
          <w:rFonts w:hint="eastAsia" w:ascii="宋体" w:hAnsi="宋体" w:cs="宋体"/>
          <w:b/>
          <w:bCs/>
          <w:sz w:val="32"/>
          <w:szCs w:val="32"/>
        </w:rPr>
        <w:fldChar w:fldCharType="separate"/>
      </w:r>
      <w:r>
        <w:rPr>
          <w:rFonts w:hint="eastAsia" w:ascii="宋体" w:hAnsi="宋体" w:cs="宋体"/>
          <w:b/>
          <w:bCs/>
          <w:sz w:val="32"/>
          <w:szCs w:val="32"/>
        </w:rPr>
        <w:t>- 31 -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"_Toc517447494" </w:instrText>
      </w:r>
      <w:r>
        <w:fldChar w:fldCharType="separate"/>
      </w:r>
      <w:r>
        <w:rPr>
          <w:rStyle w:val="37"/>
          <w:rFonts w:hint="eastAsia" w:ascii="宋体" w:hAnsi="宋体" w:cs="宋体"/>
          <w:b/>
          <w:bCs/>
          <w:sz w:val="32"/>
          <w:szCs w:val="32"/>
        </w:rPr>
        <w:t>第七章  评审方法</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_Toc517447494 \h </w:instrText>
      </w:r>
      <w:r>
        <w:rPr>
          <w:rFonts w:hint="eastAsia" w:ascii="宋体" w:hAnsi="宋体" w:cs="宋体"/>
          <w:b/>
          <w:bCs/>
          <w:sz w:val="32"/>
          <w:szCs w:val="32"/>
        </w:rPr>
        <w:fldChar w:fldCharType="separate"/>
      </w:r>
      <w:r>
        <w:rPr>
          <w:rFonts w:hint="eastAsia" w:ascii="宋体" w:hAnsi="宋体" w:cs="宋体"/>
          <w:b/>
          <w:bCs/>
          <w:sz w:val="32"/>
          <w:szCs w:val="32"/>
        </w:rPr>
        <w:t>- 61 -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pStyle w:val="23"/>
        <w:tabs>
          <w:tab w:val="right" w:leader="dot" w:pos="8296"/>
        </w:tabs>
        <w:spacing w:after="0" w:line="360" w:lineRule="auto"/>
        <w:jc w:val="center"/>
        <w:rPr>
          <w:rFonts w:ascii="宋体" w:hAnsi="宋体" w:cs="宋体"/>
          <w:b/>
          <w:bCs/>
          <w:kern w:val="2"/>
          <w:sz w:val="32"/>
          <w:szCs w:val="32"/>
        </w:rPr>
      </w:pPr>
      <w:r>
        <w:fldChar w:fldCharType="begin"/>
      </w:r>
      <w:r>
        <w:instrText xml:space="preserve"> HYPERLINK \l "_Toc517447495" </w:instrText>
      </w:r>
      <w:r>
        <w:fldChar w:fldCharType="separate"/>
      </w:r>
      <w:r>
        <w:rPr>
          <w:rStyle w:val="37"/>
          <w:rFonts w:hint="eastAsia" w:ascii="宋体" w:hAnsi="宋体" w:cs="宋体"/>
          <w:b/>
          <w:bCs/>
          <w:sz w:val="32"/>
          <w:szCs w:val="32"/>
        </w:rPr>
        <w:t>第八章  采购合同（草案）</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_Toc517447495 \h </w:instrText>
      </w:r>
      <w:r>
        <w:rPr>
          <w:rFonts w:hint="eastAsia" w:ascii="宋体" w:hAnsi="宋体" w:cs="宋体"/>
          <w:b/>
          <w:bCs/>
          <w:sz w:val="32"/>
          <w:szCs w:val="32"/>
        </w:rPr>
        <w:fldChar w:fldCharType="separate"/>
      </w:r>
      <w:r>
        <w:rPr>
          <w:rFonts w:hint="eastAsia" w:ascii="宋体" w:hAnsi="宋体" w:cs="宋体"/>
          <w:b/>
          <w:bCs/>
          <w:sz w:val="32"/>
          <w:szCs w:val="32"/>
        </w:rPr>
        <w:t>- 72 -</w:t>
      </w:r>
      <w:r>
        <w:rPr>
          <w:rFonts w:hint="eastAsia" w:ascii="宋体" w:hAnsi="宋体" w:cs="宋体"/>
          <w:b/>
          <w:bCs/>
          <w:sz w:val="32"/>
          <w:szCs w:val="32"/>
        </w:rPr>
        <w:fldChar w:fldCharType="end"/>
      </w:r>
      <w:r>
        <w:rPr>
          <w:rFonts w:hint="eastAsia" w:ascii="宋体" w:hAnsi="宋体" w:cs="宋体"/>
          <w:b/>
          <w:bCs/>
          <w:sz w:val="32"/>
          <w:szCs w:val="32"/>
        </w:rPr>
        <w:fldChar w:fldCharType="end"/>
      </w:r>
    </w:p>
    <w:p>
      <w:pPr>
        <w:spacing w:line="360" w:lineRule="auto"/>
        <w:jc w:val="center"/>
        <w:rPr>
          <w:rFonts w:ascii="宋体" w:hAnsi="宋体" w:cs="宋体"/>
          <w:bCs/>
          <w:color w:val="000000"/>
          <w:sz w:val="24"/>
        </w:rPr>
        <w:sectPr>
          <w:footerReference r:id="rId4"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b/>
          <w:bCs/>
          <w:kern w:val="0"/>
          <w:sz w:val="32"/>
          <w:szCs w:val="32"/>
        </w:rPr>
        <w:fldChar w:fldCharType="end"/>
      </w:r>
    </w:p>
    <w:p>
      <w:pPr>
        <w:pStyle w:val="4"/>
        <w:spacing w:before="0" w:after="0" w:line="360" w:lineRule="auto"/>
        <w:jc w:val="center"/>
        <w:rPr>
          <w:sz w:val="36"/>
          <w:szCs w:val="36"/>
        </w:rPr>
      </w:pPr>
      <w:bookmarkStart w:id="2" w:name="_Toc517447488"/>
      <w:r>
        <w:rPr>
          <w:rFonts w:hint="eastAsia"/>
          <w:sz w:val="36"/>
          <w:szCs w:val="36"/>
        </w:rPr>
        <w:t>第一章  采购邀请</w:t>
      </w:r>
      <w:bookmarkEnd w:id="2"/>
    </w:p>
    <w:p>
      <w:pPr>
        <w:spacing w:line="360" w:lineRule="auto"/>
        <w:ind w:firstLine="480" w:firstLineChars="200"/>
        <w:rPr>
          <w:rFonts w:ascii="宋体" w:hAnsi="宋体" w:cs="宋体"/>
          <w:sz w:val="24"/>
          <w:szCs w:val="28"/>
        </w:rPr>
      </w:pPr>
      <w:r>
        <w:rPr>
          <w:rFonts w:hint="eastAsia" w:ascii="宋体" w:hAnsi="宋体" w:cs="宋体"/>
          <w:bCs/>
          <w:sz w:val="24"/>
        </w:rPr>
        <w:t>我院拟对全院医学装备技术维保服务</w:t>
      </w:r>
      <w:r>
        <w:rPr>
          <w:rFonts w:hint="eastAsia" w:ascii="宋体" w:hAnsi="宋体" w:cs="宋体"/>
          <w:bCs/>
          <w:sz w:val="24"/>
          <w:szCs w:val="32"/>
        </w:rPr>
        <w:t>采</w:t>
      </w:r>
      <w:r>
        <w:rPr>
          <w:rFonts w:hint="eastAsia" w:ascii="宋体" w:hAnsi="宋体" w:cs="宋体"/>
          <w:sz w:val="24"/>
          <w:szCs w:val="32"/>
        </w:rPr>
        <w:t>用院内比选方式</w:t>
      </w:r>
      <w:r>
        <w:rPr>
          <w:rFonts w:hint="eastAsia" w:ascii="宋体" w:hAnsi="宋体" w:cs="宋体"/>
          <w:sz w:val="24"/>
        </w:rPr>
        <w:t>进行采购，特</w:t>
      </w:r>
      <w:r>
        <w:rPr>
          <w:rFonts w:hint="eastAsia" w:ascii="宋体" w:hAnsi="宋体" w:cs="宋体"/>
          <w:sz w:val="24"/>
          <w:szCs w:val="28"/>
        </w:rPr>
        <w:t>邀请符合本次采购要求的供应商参加</w:t>
      </w:r>
      <w:r>
        <w:rPr>
          <w:rFonts w:hint="eastAsia" w:ascii="宋体" w:hAnsi="宋体" w:cs="宋体"/>
          <w:sz w:val="24"/>
        </w:rPr>
        <w:t>本项目的竞争性磋商</w:t>
      </w:r>
      <w:r>
        <w:rPr>
          <w:rFonts w:hint="eastAsia" w:ascii="宋体" w:hAnsi="宋体" w:cs="宋体"/>
          <w:sz w:val="24"/>
          <w:szCs w:val="28"/>
        </w:rPr>
        <w:t>。</w:t>
      </w:r>
    </w:p>
    <w:p>
      <w:pPr>
        <w:spacing w:line="360" w:lineRule="auto"/>
        <w:ind w:firstLine="482" w:firstLineChars="200"/>
        <w:rPr>
          <w:rFonts w:ascii="宋体" w:hAnsi="宋体" w:cs="宋体"/>
          <w:b/>
          <w:sz w:val="24"/>
        </w:rPr>
      </w:pPr>
      <w:r>
        <w:rPr>
          <w:rFonts w:hint="eastAsia" w:ascii="宋体" w:hAnsi="宋体" w:cs="宋体"/>
          <w:b/>
          <w:sz w:val="24"/>
        </w:rPr>
        <w:t>一、采购项目基本情况</w:t>
      </w:r>
    </w:p>
    <w:p>
      <w:pPr>
        <w:spacing w:line="360" w:lineRule="auto"/>
        <w:ind w:firstLine="480" w:firstLineChars="200"/>
        <w:rPr>
          <w:rFonts w:ascii="宋体" w:hAnsi="宋体" w:cs="宋体"/>
          <w:sz w:val="24"/>
        </w:rPr>
      </w:pPr>
      <w:r>
        <w:rPr>
          <w:rFonts w:hint="eastAsia" w:ascii="宋体" w:hAnsi="宋体" w:cs="宋体"/>
          <w:sz w:val="24"/>
        </w:rPr>
        <w:t>1.项目编号：YNC-20230</w:t>
      </w:r>
      <w:r>
        <w:rPr>
          <w:rFonts w:ascii="宋体" w:hAnsi="宋体" w:cs="宋体"/>
          <w:sz w:val="24"/>
        </w:rPr>
        <w:t>20</w:t>
      </w:r>
      <w:r>
        <w:rPr>
          <w:rFonts w:hint="eastAsia" w:ascii="宋体" w:hAnsi="宋体" w:cs="宋体"/>
          <w:sz w:val="24"/>
        </w:rPr>
        <w:t>号</w:t>
      </w:r>
    </w:p>
    <w:p>
      <w:pPr>
        <w:spacing w:line="360" w:lineRule="auto"/>
        <w:ind w:firstLine="480" w:firstLineChars="200"/>
        <w:rPr>
          <w:rFonts w:ascii="宋体" w:hAnsi="宋体" w:cs="宋体"/>
          <w:sz w:val="24"/>
        </w:rPr>
      </w:pPr>
      <w:r>
        <w:rPr>
          <w:rFonts w:hint="eastAsia" w:ascii="宋体" w:hAnsi="宋体" w:cs="宋体"/>
          <w:sz w:val="24"/>
        </w:rPr>
        <w:t>2.采购项目名称：全院医学装备技术维保服务。</w:t>
      </w:r>
    </w:p>
    <w:p>
      <w:pPr>
        <w:spacing w:line="360" w:lineRule="auto"/>
        <w:ind w:firstLine="480" w:firstLineChars="200"/>
        <w:rPr>
          <w:rFonts w:ascii="宋体" w:hAnsi="宋体" w:cs="宋体"/>
          <w:sz w:val="24"/>
        </w:rPr>
      </w:pPr>
      <w:r>
        <w:rPr>
          <w:rFonts w:hint="eastAsia" w:ascii="宋体" w:hAnsi="宋体" w:cs="宋体"/>
          <w:sz w:val="24"/>
        </w:rPr>
        <w:t>3.采购人：绵竹市中医医院。</w:t>
      </w:r>
    </w:p>
    <w:p>
      <w:pPr>
        <w:spacing w:line="360" w:lineRule="auto"/>
        <w:ind w:firstLine="482" w:firstLineChars="200"/>
        <w:rPr>
          <w:rFonts w:ascii="宋体" w:hAnsi="宋体" w:cs="宋体"/>
          <w:b/>
          <w:sz w:val="24"/>
        </w:rPr>
      </w:pPr>
      <w:r>
        <w:rPr>
          <w:rFonts w:hint="eastAsia" w:ascii="宋体" w:hAnsi="宋体" w:cs="宋体"/>
          <w:b/>
          <w:sz w:val="24"/>
        </w:rPr>
        <w:t>二、资金情况</w:t>
      </w:r>
    </w:p>
    <w:p>
      <w:pPr>
        <w:spacing w:line="360" w:lineRule="auto"/>
        <w:ind w:firstLine="480" w:firstLineChars="200"/>
        <w:rPr>
          <w:rFonts w:ascii="宋体" w:hAnsi="宋体" w:cs="宋体"/>
          <w:b/>
          <w:bCs/>
          <w:sz w:val="24"/>
        </w:rPr>
      </w:pPr>
      <w:r>
        <w:rPr>
          <w:rFonts w:hint="eastAsia" w:ascii="宋体" w:hAnsi="宋体" w:cs="宋体"/>
          <w:sz w:val="24"/>
        </w:rPr>
        <w:t>资金来源及金额：自筹资金人民币</w:t>
      </w:r>
      <w:r>
        <w:rPr>
          <w:rFonts w:ascii="宋体" w:hAnsi="宋体" w:cs="宋体"/>
          <w:sz w:val="24"/>
        </w:rPr>
        <w:t>6</w:t>
      </w:r>
      <w:r>
        <w:rPr>
          <w:rFonts w:hint="eastAsia" w:ascii="宋体" w:hAnsi="宋体" w:cs="宋体"/>
          <w:sz w:val="24"/>
        </w:rPr>
        <w:t>万元。</w:t>
      </w:r>
    </w:p>
    <w:p>
      <w:pPr>
        <w:spacing w:line="360" w:lineRule="auto"/>
        <w:ind w:firstLine="482" w:firstLineChars="200"/>
        <w:rPr>
          <w:rFonts w:ascii="宋体" w:hAnsi="宋体" w:cs="宋体"/>
          <w:b/>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p>
    <w:p>
      <w:pPr>
        <w:spacing w:line="360" w:lineRule="auto"/>
        <w:ind w:firstLine="480" w:firstLineChars="200"/>
        <w:rPr>
          <w:rFonts w:ascii="宋体" w:hAnsi="宋体" w:cs="宋体"/>
          <w:color w:val="000000"/>
          <w:spacing w:val="-4"/>
          <w:sz w:val="24"/>
        </w:rPr>
      </w:pPr>
      <w:r>
        <w:rPr>
          <w:rFonts w:hint="eastAsia" w:ascii="宋体" w:hAnsi="宋体" w:cs="宋体"/>
          <w:sz w:val="24"/>
        </w:rPr>
        <w:t>绵竹市中医医院拟采购全院医学装备技术维保服务一项，本项目为1个包。</w:t>
      </w:r>
    </w:p>
    <w:p>
      <w:pPr>
        <w:spacing w:line="360" w:lineRule="auto"/>
        <w:ind w:firstLine="480" w:firstLineChars="200"/>
        <w:rPr>
          <w:rFonts w:ascii="宋体" w:hAnsi="宋体" w:cs="宋体"/>
          <w:sz w:val="24"/>
          <w:szCs w:val="28"/>
        </w:rPr>
      </w:pPr>
      <w:r>
        <w:rPr>
          <w:rFonts w:hint="eastAsia" w:ascii="宋体" w:hAnsi="宋体" w:cs="宋体"/>
          <w:sz w:val="24"/>
          <w:szCs w:val="28"/>
        </w:rPr>
        <w:t>（详见磋商文件第</w:t>
      </w:r>
      <w:r>
        <w:rPr>
          <w:rFonts w:hint="eastAsia" w:ascii="宋体" w:hAnsi="宋体" w:cs="宋体"/>
          <w:bCs/>
          <w:sz w:val="24"/>
        </w:rPr>
        <w:t>五</w:t>
      </w:r>
      <w:r>
        <w:rPr>
          <w:rFonts w:hint="eastAsia" w:ascii="宋体" w:hAnsi="宋体" w:cs="宋体"/>
          <w:sz w:val="24"/>
          <w:szCs w:val="28"/>
        </w:rPr>
        <w:t>章）。</w:t>
      </w:r>
    </w:p>
    <w:p>
      <w:pPr>
        <w:spacing w:line="360" w:lineRule="auto"/>
        <w:ind w:firstLine="482" w:firstLineChars="200"/>
        <w:rPr>
          <w:rFonts w:ascii="宋体" w:hAnsi="宋体" w:cs="宋体"/>
          <w:b/>
          <w:bCs/>
          <w:sz w:val="24"/>
        </w:rPr>
      </w:pPr>
      <w:r>
        <w:rPr>
          <w:rFonts w:hint="eastAsia" w:ascii="宋体" w:hAnsi="宋体" w:cs="宋体"/>
          <w:b/>
          <w:bCs/>
          <w:sz w:val="24"/>
        </w:rPr>
        <w:t>四、供应商邀请方式</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sz w:val="24"/>
        </w:rPr>
        <w:t>公告方式：</w:t>
      </w:r>
      <w:r>
        <w:rPr>
          <w:rFonts w:hint="eastAsia" w:ascii="宋体" w:hAnsi="宋体" w:cs="宋体"/>
          <w:bCs/>
          <w:color w:val="000000" w:themeColor="text1"/>
          <w:sz w:val="24"/>
          <w14:textFill>
            <w14:solidFill>
              <w14:schemeClr w14:val="tx1"/>
            </w14:solidFill>
          </w14:textFill>
        </w:rPr>
        <w:t>本次竞争性磋商邀请在</w:t>
      </w:r>
      <w:bookmarkStart w:id="3" w:name="_Hlk150327953"/>
      <w:r>
        <w:rPr>
          <w:rFonts w:hint="eastAsia" w:ascii="宋体" w:hAnsi="宋体" w:cs="宋体"/>
          <w:bCs/>
          <w:color w:val="000000" w:themeColor="text1"/>
          <w:sz w:val="24"/>
          <w14:textFill>
            <w14:solidFill>
              <w14:schemeClr w14:val="tx1"/>
            </w14:solidFill>
          </w14:textFill>
        </w:rPr>
        <w:t>绵竹市中医医院官网（</w:t>
      </w:r>
      <w:r>
        <w:rPr>
          <w:rFonts w:ascii="宋体" w:hAnsi="宋体" w:cs="宋体"/>
          <w:bCs/>
          <w:color w:val="000000" w:themeColor="text1"/>
          <w:sz w:val="24"/>
          <w14:textFill>
            <w14:solidFill>
              <w14:schemeClr w14:val="tx1"/>
            </w14:solidFill>
          </w14:textFill>
        </w:rPr>
        <w:t>http://www.mzszyyy1982.com/</w:t>
      </w:r>
      <w:r>
        <w:rPr>
          <w:rFonts w:hint="eastAsia" w:ascii="宋体" w:hAnsi="宋体" w:cs="宋体"/>
          <w:bCs/>
          <w:color w:val="000000" w:themeColor="text1"/>
          <w:sz w:val="24"/>
          <w14:textFill>
            <w14:solidFill>
              <w14:schemeClr w14:val="tx1"/>
            </w14:solidFill>
          </w14:textFill>
        </w:rPr>
        <w:t>）上</w:t>
      </w:r>
      <w:bookmarkEnd w:id="3"/>
      <w:r>
        <w:rPr>
          <w:rFonts w:hint="eastAsia" w:ascii="宋体" w:hAnsi="宋体" w:cs="宋体"/>
          <w:bCs/>
          <w:color w:val="000000" w:themeColor="text1"/>
          <w:sz w:val="24"/>
          <w14:textFill>
            <w14:solidFill>
              <w14:schemeClr w14:val="tx1"/>
            </w14:solidFill>
          </w14:textFill>
        </w:rPr>
        <w:t>以公告形式发布。</w:t>
      </w:r>
    </w:p>
    <w:p>
      <w:pPr>
        <w:spacing w:line="360" w:lineRule="auto"/>
        <w:ind w:firstLine="482" w:firstLineChars="200"/>
        <w:rPr>
          <w:rFonts w:ascii="宋体" w:hAnsi="宋体" w:cs="宋体"/>
          <w:b/>
          <w:bCs/>
          <w:sz w:val="24"/>
        </w:rPr>
      </w:pPr>
      <w:r>
        <w:rPr>
          <w:rFonts w:hint="eastAsia" w:ascii="宋体" w:hAnsi="宋体" w:cs="宋体"/>
          <w:b/>
          <w:bCs/>
          <w:sz w:val="24"/>
        </w:rPr>
        <w:t>五、供应商参加本次政府采购活动应具备下列条件</w:t>
      </w:r>
    </w:p>
    <w:p>
      <w:pPr>
        <w:pStyle w:val="53"/>
        <w:ind w:firstLine="600" w:firstLineChars="250"/>
        <w:rPr>
          <w:rFonts w:ascii="宋体" w:hAnsi="宋体" w:cs="宋体"/>
          <w:color w:val="000000"/>
          <w:sz w:val="24"/>
        </w:rPr>
      </w:pPr>
      <w:bookmarkStart w:id="4" w:name="PO_供应商资格条件_1"/>
      <w:r>
        <w:rPr>
          <w:rFonts w:hint="eastAsia" w:ascii="宋体" w:hAnsi="宋体" w:cs="宋体"/>
          <w:color w:val="000000"/>
          <w:sz w:val="24"/>
        </w:rPr>
        <w:t>1、满足《中华人民共和国政府采购法》第二十二条规定；</w:t>
      </w:r>
    </w:p>
    <w:p>
      <w:pPr>
        <w:tabs>
          <w:tab w:val="left" w:pos="7665"/>
        </w:tabs>
        <w:spacing w:line="360" w:lineRule="auto"/>
        <w:ind w:firstLine="600" w:firstLineChars="250"/>
        <w:rPr>
          <w:rFonts w:ascii="宋体" w:hAnsi="宋体" w:cs="宋体"/>
          <w:color w:val="000000"/>
          <w:sz w:val="24"/>
        </w:rPr>
      </w:pPr>
      <w:r>
        <w:rPr>
          <w:rFonts w:hint="eastAsia" w:ascii="宋体" w:hAnsi="宋体" w:cs="宋体"/>
          <w:color w:val="000000"/>
          <w:sz w:val="24"/>
        </w:rPr>
        <w:t>2、落实政府采购政策需满足的资格要求：</w:t>
      </w:r>
      <w:r>
        <w:rPr>
          <w:rFonts w:hint="eastAsia" w:ascii="宋体" w:hAnsi="宋体" w:cs="宋体"/>
          <w:b/>
          <w:bCs/>
          <w:color w:val="000000"/>
          <w:sz w:val="24"/>
        </w:rPr>
        <w:t>无；</w:t>
      </w:r>
    </w:p>
    <w:p>
      <w:pPr>
        <w:pStyle w:val="53"/>
        <w:ind w:firstLine="600" w:firstLineChars="250"/>
        <w:rPr>
          <w:rFonts w:ascii="仿宋" w:hAnsi="仿宋" w:eastAsia="仿宋" w:cs="宋体"/>
          <w:sz w:val="24"/>
        </w:rPr>
      </w:pPr>
      <w:r>
        <w:rPr>
          <w:rFonts w:hint="eastAsia" w:ascii="宋体" w:hAnsi="宋体" w:cs="宋体"/>
          <w:color w:val="000000"/>
          <w:sz w:val="24"/>
        </w:rPr>
        <w:t>3、本项目的特定资格要求：供应商具有有效的《中华人民共和国保险许可证》。</w:t>
      </w:r>
    </w:p>
    <w:bookmarkEnd w:id="4"/>
    <w:p>
      <w:pPr>
        <w:spacing w:line="360" w:lineRule="auto"/>
        <w:ind w:firstLine="482" w:firstLineChars="200"/>
        <w:rPr>
          <w:rFonts w:ascii="宋体" w:hAnsi="宋体" w:cs="宋体"/>
          <w:b/>
          <w:sz w:val="24"/>
        </w:rPr>
      </w:pPr>
      <w:r>
        <w:rPr>
          <w:rFonts w:hint="eastAsia" w:ascii="宋体" w:hAnsi="宋体" w:cs="宋体"/>
          <w:b/>
          <w:sz w:val="24"/>
        </w:rPr>
        <w:t>六、禁止参加本次采购活动的供应商</w:t>
      </w:r>
    </w:p>
    <w:p>
      <w:pPr>
        <w:spacing w:line="360" w:lineRule="auto"/>
        <w:ind w:firstLine="480" w:firstLineChars="200"/>
        <w:rPr>
          <w:rFonts w:ascii="宋体" w:hAnsi="宋体" w:cs="宋体"/>
          <w:color w:val="000000"/>
          <w:sz w:val="24"/>
        </w:rPr>
      </w:pPr>
      <w:r>
        <w:rPr>
          <w:rFonts w:hint="eastAsia" w:ascii="宋体" w:hAnsi="宋体" w:cs="宋体"/>
          <w:color w:val="000000"/>
          <w:sz w:val="24"/>
        </w:rPr>
        <w:t>1.根据《关于在政府采购活动中查询及使用信用记录有关问题的通知》（财库〔2016〕125号）的要求，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重大税收违法失信主体）、政府采购严重违法失信行为记录名单中的供应商参加本项目的采购活动。</w:t>
      </w:r>
    </w:p>
    <w:p>
      <w:pPr>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2" w:firstLineChars="200"/>
        <w:rPr>
          <w:rFonts w:ascii="宋体" w:hAnsi="宋体"/>
          <w:b/>
          <w:sz w:val="24"/>
        </w:rPr>
      </w:pPr>
      <w:r>
        <w:rPr>
          <w:rFonts w:hint="eastAsia" w:ascii="宋体" w:hAnsi="宋体"/>
          <w:b/>
          <w:sz w:val="24"/>
        </w:rPr>
        <w:t>七、招标文件获取方式：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招标文件在自公共之日起，在绵竹市中医医院官网公示公共栏（http://www.mzszyyy1982.com/）上获取。</w:t>
      </w:r>
      <w:bookmarkStart w:id="5" w:name="_Hlk150328044"/>
    </w:p>
    <w:bookmarkEnd w:id="5"/>
    <w:p>
      <w:pPr>
        <w:spacing w:after="120"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八、递交响应文件截止时间：</w:t>
      </w:r>
    </w:p>
    <w:p>
      <w:pPr>
        <w:spacing w:after="120" w:line="360" w:lineRule="auto"/>
        <w:ind w:firstLine="480" w:firstLineChars="200"/>
        <w:rPr>
          <w:rFonts w:ascii="宋体" w:hAnsi="宋体" w:cs="宋体"/>
          <w:color w:val="000000" w:themeColor="text1"/>
          <w:sz w:val="24"/>
          <w:szCs w:val="28"/>
          <w14:textFill>
            <w14:solidFill>
              <w14:schemeClr w14:val="tx1"/>
            </w14:solidFill>
          </w14:textFill>
        </w:rPr>
      </w:pPr>
      <w:r>
        <w:rPr>
          <w:rFonts w:ascii="宋体" w:hAnsi="宋体"/>
          <w:color w:val="000000" w:themeColor="text1"/>
          <w:sz w:val="24"/>
          <w14:textFill>
            <w14:solidFill>
              <w14:schemeClr w14:val="tx1"/>
            </w14:solidFill>
          </w14:textFill>
        </w:rPr>
        <w:t>2023</w:t>
      </w:r>
      <w:r>
        <w:rPr>
          <w:rFonts w:hint="eastAsia" w:ascii="宋体" w:hAnsi="宋体"/>
          <w:color w:val="000000" w:themeColor="text1"/>
          <w:sz w:val="24"/>
          <w14:textFill>
            <w14:solidFill>
              <w14:schemeClr w14:val="tx1"/>
            </w14:solidFill>
          </w14:textFill>
        </w:rPr>
        <w:t>年1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日下午1</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时前，上午8:30-12:00下午14:30-17:00（北京时间，法定节假日除外）。</w:t>
      </w:r>
    </w:p>
    <w:p>
      <w:pPr>
        <w:pStyle w:val="53"/>
        <w:ind w:firstLine="566" w:firstLineChars="235"/>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九、递交响应文件地点：</w:t>
      </w:r>
      <w:r>
        <w:rPr>
          <w:rFonts w:hint="eastAsia" w:ascii="宋体" w:hAnsi="宋体" w:cs="宋体"/>
          <w:b/>
          <w:color w:val="000000" w:themeColor="text1"/>
          <w:sz w:val="24"/>
          <w:szCs w:val="28"/>
          <w:u w:val="single"/>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四川省绵竹市紫岩街道紫岩路1</w:t>
      </w:r>
      <w:r>
        <w:rPr>
          <w:rFonts w:ascii="宋体" w:hAnsi="宋体" w:cs="宋体"/>
          <w:bCs/>
          <w:color w:val="000000" w:themeColor="text1"/>
          <w:sz w:val="24"/>
          <w:u w:val="single"/>
          <w14:textFill>
            <w14:solidFill>
              <w14:schemeClr w14:val="tx1"/>
            </w14:solidFill>
          </w14:textFill>
        </w:rPr>
        <w:t>50</w:t>
      </w:r>
      <w:r>
        <w:rPr>
          <w:rFonts w:hint="eastAsia" w:ascii="宋体" w:hAnsi="宋体" w:cs="宋体"/>
          <w:bCs/>
          <w:color w:val="000000" w:themeColor="text1"/>
          <w:sz w:val="24"/>
          <w:u w:val="single"/>
          <w14:textFill>
            <w14:solidFill>
              <w14:schemeClr w14:val="tx1"/>
            </w14:solidFill>
          </w14:textFill>
        </w:rPr>
        <w:t>号，绵竹市中医医院分院5楼采管办。</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响应文件必须在递交响应文件截止时间前指定地点。逾期送达、密封和标注错误的响应文件，恕不接收。递交响应文件时，经办人员当场提交以下资料：供应商为法人或者其他组织的，只需提供单位介绍信（查验原件收复印件、复印件请加盖供应商公章）；供应商为自然人的，只需提供本人身份证明。本次招标不接受邮寄的响应文件。</w:t>
      </w:r>
    </w:p>
    <w:p>
      <w:pPr>
        <w:spacing w:line="360" w:lineRule="auto"/>
        <w:ind w:firstLine="482" w:firstLineChars="200"/>
        <w:rPr>
          <w:rFonts w:ascii="宋体" w:hAnsi="宋体" w:cs="宋体"/>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十、响应文件开启时间：</w:t>
      </w:r>
      <w:r>
        <w:rPr>
          <w:rFonts w:hint="eastAsia" w:ascii="宋体" w:hAnsi="宋体" w:cs="宋体"/>
          <w:bCs/>
          <w:color w:val="000000" w:themeColor="text1"/>
          <w:sz w:val="24"/>
          <w14:textFill>
            <w14:solidFill>
              <w14:schemeClr w14:val="tx1"/>
            </w14:solidFill>
          </w14:textFill>
        </w:rPr>
        <w:t>另行电话通知</w:t>
      </w:r>
      <w:r>
        <w:rPr>
          <w:rFonts w:hint="eastAsia" w:ascii="宋体" w:hAnsi="宋体" w:cs="宋体"/>
          <w:color w:val="000000" w:themeColor="text1"/>
          <w:sz w:val="24"/>
          <w:szCs w:val="28"/>
          <w14:textFill>
            <w14:solidFill>
              <w14:schemeClr w14:val="tx1"/>
            </w14:solidFill>
          </w14:textFill>
        </w:rPr>
        <w:t>。</w:t>
      </w:r>
    </w:p>
    <w:p>
      <w:pPr>
        <w:spacing w:line="360" w:lineRule="auto"/>
        <w:ind w:firstLine="482" w:firstLineChars="200"/>
        <w:rPr>
          <w:rFonts w:ascii="宋体" w:hAnsi="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十一、磋商地点：</w:t>
      </w:r>
      <w:r>
        <w:rPr>
          <w:rFonts w:hint="eastAsia" w:ascii="宋体" w:hAnsi="宋体" w:cs="宋体"/>
          <w:color w:val="000000" w:themeColor="text1"/>
          <w:sz w:val="24"/>
          <w:szCs w:val="28"/>
          <w14:textFill>
            <w14:solidFill>
              <w14:schemeClr w14:val="tx1"/>
            </w14:solidFill>
          </w14:textFill>
        </w:rPr>
        <w:t>绵竹市中医医院分院4楼会议室</w:t>
      </w:r>
    </w:p>
    <w:p>
      <w:pPr>
        <w:spacing w:line="360" w:lineRule="auto"/>
        <w:ind w:firstLine="482" w:firstLineChars="200"/>
        <w:rPr>
          <w:rFonts w:ascii="宋体" w:hAnsi="宋体" w:cs="宋体"/>
          <w:b/>
          <w:sz w:val="24"/>
        </w:rPr>
      </w:pPr>
      <w:r>
        <w:rPr>
          <w:rFonts w:hint="eastAsia" w:ascii="宋体" w:hAnsi="宋体" w:cs="宋体"/>
          <w:b/>
          <w:sz w:val="24"/>
        </w:rPr>
        <w:t xml:space="preserve">十二、联系方式 </w:t>
      </w:r>
    </w:p>
    <w:p>
      <w:pPr>
        <w:pStyle w:val="53"/>
        <w:ind w:firstLine="564" w:firstLineChars="235"/>
        <w:rPr>
          <w:rFonts w:ascii="宋体" w:hAnsi="宋体" w:cs="宋体"/>
          <w:bCs/>
          <w:sz w:val="24"/>
        </w:rPr>
      </w:pPr>
      <w:r>
        <w:rPr>
          <w:rFonts w:hint="eastAsia" w:ascii="宋体" w:hAnsi="宋体" w:cs="宋体"/>
          <w:bCs/>
          <w:sz w:val="24"/>
        </w:rPr>
        <w:t>采购人：绵竹市中医医院</w:t>
      </w:r>
      <w:bookmarkStart w:id="129" w:name="_GoBack"/>
      <w:bookmarkEnd w:id="129"/>
    </w:p>
    <w:p>
      <w:pPr>
        <w:pStyle w:val="53"/>
        <w:ind w:firstLine="564" w:firstLineChars="235"/>
        <w:rPr>
          <w:rFonts w:ascii="宋体" w:hAnsi="宋体" w:cs="宋体"/>
          <w:bCs/>
          <w:sz w:val="24"/>
        </w:rPr>
      </w:pPr>
      <w:r>
        <w:rPr>
          <w:rFonts w:hint="eastAsia" w:ascii="宋体" w:hAnsi="宋体" w:cs="宋体"/>
          <w:bCs/>
          <w:sz w:val="24"/>
        </w:rPr>
        <w:t>地    址：四川省绵竹市天河路60号</w:t>
      </w:r>
    </w:p>
    <w:p>
      <w:pPr>
        <w:pStyle w:val="53"/>
        <w:ind w:firstLine="564" w:firstLineChars="235"/>
        <w:rPr>
          <w:rFonts w:ascii="宋体" w:hAnsi="宋体" w:cs="宋体"/>
          <w:sz w:val="24"/>
        </w:rPr>
      </w:pPr>
      <w:r>
        <w:rPr>
          <w:rFonts w:hint="eastAsia" w:ascii="宋体" w:hAnsi="宋体" w:cs="宋体"/>
          <w:sz w:val="24"/>
        </w:rPr>
        <w:t>联 系 人：秦老师</w:t>
      </w:r>
    </w:p>
    <w:p>
      <w:pPr>
        <w:pStyle w:val="53"/>
        <w:ind w:firstLine="564" w:firstLineChars="235"/>
        <w:rPr>
          <w:rFonts w:ascii="宋体" w:hAnsi="宋体" w:cs="宋体"/>
          <w:sz w:val="24"/>
        </w:rPr>
      </w:pPr>
      <w:r>
        <w:rPr>
          <w:rFonts w:hint="eastAsia" w:ascii="宋体" w:hAnsi="宋体" w:cs="宋体"/>
          <w:sz w:val="24"/>
        </w:rPr>
        <w:t xml:space="preserve">联系电话： </w:t>
      </w:r>
      <w:r>
        <w:rPr>
          <w:rFonts w:ascii="宋体" w:hAnsi="宋体" w:cs="宋体"/>
          <w:sz w:val="24"/>
        </w:rPr>
        <w:t>18016120212</w:t>
      </w:r>
    </w:p>
    <w:p>
      <w:pPr>
        <w:spacing w:line="360" w:lineRule="auto"/>
        <w:jc w:val="center"/>
        <w:rPr>
          <w:rFonts w:ascii="宋体" w:hAnsi="宋体" w:cs="宋体"/>
          <w:b/>
          <w:bCs/>
          <w:sz w:val="36"/>
          <w:szCs w:val="36"/>
        </w:rPr>
      </w:pPr>
      <w:bookmarkStart w:id="6" w:name="_Toc213396759"/>
      <w:bookmarkStart w:id="7" w:name="_Toc213397009"/>
      <w:bookmarkStart w:id="8" w:name="_Toc217446031"/>
      <w:bookmarkStart w:id="9" w:name="_Toc514227553"/>
      <w:bookmarkStart w:id="10" w:name="_Toc213396945"/>
      <w:bookmarkStart w:id="11" w:name="_Toc517447489"/>
      <w:bookmarkStart w:id="12" w:name="_Toc514227825"/>
      <w:bookmarkStart w:id="13" w:name="_Toc510626106"/>
      <w:bookmarkStart w:id="14" w:name="_Toc213496267"/>
      <w:r>
        <w:rPr>
          <w:rFonts w:hint="eastAsia" w:ascii="宋体" w:hAnsi="宋体" w:cs="宋体"/>
          <w:b/>
          <w:bCs/>
          <w:sz w:val="36"/>
          <w:szCs w:val="36"/>
        </w:rPr>
        <w:br w:type="page"/>
      </w:r>
      <w:r>
        <w:rPr>
          <w:rFonts w:hint="eastAsia" w:ascii="宋体" w:hAnsi="宋体" w:cs="宋体"/>
          <w:b/>
          <w:bCs/>
          <w:sz w:val="36"/>
          <w:szCs w:val="36"/>
        </w:rPr>
        <w:t>第二章  磋商须知</w:t>
      </w:r>
      <w:bookmarkEnd w:id="6"/>
      <w:bookmarkEnd w:id="7"/>
      <w:bookmarkEnd w:id="8"/>
      <w:bookmarkEnd w:id="9"/>
      <w:bookmarkEnd w:id="10"/>
      <w:bookmarkEnd w:id="11"/>
      <w:bookmarkEnd w:id="12"/>
      <w:bookmarkEnd w:id="13"/>
      <w:bookmarkEnd w:id="14"/>
    </w:p>
    <w:p>
      <w:pPr>
        <w:pStyle w:val="5"/>
        <w:keepNext w:val="0"/>
        <w:keepLines w:val="0"/>
        <w:spacing w:before="0" w:after="0" w:line="360" w:lineRule="auto"/>
        <w:jc w:val="center"/>
        <w:rPr>
          <w:rFonts w:ascii="宋体" w:hAnsi="宋体" w:eastAsia="宋体" w:cs="宋体"/>
          <w:color w:val="000000"/>
        </w:rPr>
      </w:pPr>
      <w:r>
        <w:rPr>
          <w:rFonts w:hint="eastAsia" w:ascii="宋体" w:hAnsi="宋体" w:eastAsia="宋体" w:cs="宋体"/>
          <w:color w:val="000000"/>
        </w:rPr>
        <w:t>一、供应商须知附表</w:t>
      </w:r>
    </w:p>
    <w:tbl>
      <w:tblPr>
        <w:tblStyle w:val="33"/>
        <w:tblW w:w="937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03"/>
        <w:gridCol w:w="2200"/>
        <w:gridCol w:w="667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lang w:val="zh-CN"/>
              </w:rPr>
            </w:pPr>
            <w:r>
              <w:rPr>
                <w:rFonts w:hint="eastAsia"/>
                <w:color w:val="000000"/>
                <w:lang w:val="zh-CN"/>
              </w:rPr>
              <w:t>序号</w:t>
            </w:r>
          </w:p>
        </w:tc>
        <w:tc>
          <w:tcPr>
            <w:tcW w:w="2200" w:type="dxa"/>
            <w:vAlign w:val="center"/>
          </w:tcPr>
          <w:p>
            <w:pPr>
              <w:pStyle w:val="65"/>
              <w:adjustRightInd/>
              <w:spacing w:line="360" w:lineRule="auto"/>
              <w:jc w:val="center"/>
              <w:rPr>
                <w:color w:val="000000"/>
                <w:lang w:val="zh-CN"/>
              </w:rPr>
            </w:pPr>
            <w:r>
              <w:rPr>
                <w:rFonts w:hint="eastAsia"/>
                <w:color w:val="000000"/>
                <w:lang w:val="zh-CN"/>
              </w:rPr>
              <w:t xml:space="preserve">应知事项 </w:t>
            </w:r>
          </w:p>
        </w:tc>
        <w:tc>
          <w:tcPr>
            <w:tcW w:w="6676" w:type="dxa"/>
            <w:vAlign w:val="center"/>
          </w:tcPr>
          <w:p>
            <w:pPr>
              <w:pStyle w:val="65"/>
              <w:adjustRightInd/>
              <w:spacing w:line="360" w:lineRule="auto"/>
              <w:jc w:val="center"/>
              <w:rPr>
                <w:color w:val="000000"/>
                <w:lang w:val="zh-CN"/>
              </w:rPr>
            </w:pPr>
            <w:r>
              <w:rPr>
                <w:rFonts w:hint="eastAsia"/>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lang w:val="zh-CN"/>
              </w:rPr>
            </w:pPr>
            <w:r>
              <w:rPr>
                <w:rFonts w:hint="eastAsia"/>
                <w:color w:val="000000"/>
                <w:lang w:val="zh-CN"/>
              </w:rPr>
              <w:t>1</w:t>
            </w:r>
          </w:p>
        </w:tc>
        <w:tc>
          <w:tcPr>
            <w:tcW w:w="2200" w:type="dxa"/>
            <w:vAlign w:val="center"/>
          </w:tcPr>
          <w:p>
            <w:pPr>
              <w:pStyle w:val="65"/>
              <w:adjustRightInd/>
              <w:spacing w:line="360" w:lineRule="auto"/>
              <w:jc w:val="center"/>
              <w:rPr>
                <w:b/>
                <w:color w:val="000000"/>
                <w:lang w:val="zh-CN"/>
              </w:rPr>
            </w:pPr>
            <w:r>
              <w:rPr>
                <w:rFonts w:hint="eastAsia"/>
                <w:b/>
                <w:color w:val="000000"/>
                <w:lang w:val="zh-CN"/>
              </w:rPr>
              <w:t>采购预算</w:t>
            </w:r>
          </w:p>
          <w:p>
            <w:pPr>
              <w:pStyle w:val="65"/>
              <w:adjustRightInd/>
              <w:spacing w:line="360" w:lineRule="auto"/>
              <w:jc w:val="center"/>
              <w:rPr>
                <w:color w:val="000000"/>
                <w:lang w:val="zh-CN"/>
              </w:rPr>
            </w:pPr>
            <w:r>
              <w:rPr>
                <w:rFonts w:hint="eastAsia"/>
                <w:b/>
                <w:color w:val="000000"/>
                <w:lang w:val="zh-CN"/>
              </w:rPr>
              <w:t>（实质性要求）</w:t>
            </w:r>
          </w:p>
        </w:tc>
        <w:tc>
          <w:tcPr>
            <w:tcW w:w="6676" w:type="dxa"/>
          </w:tcPr>
          <w:p>
            <w:pPr>
              <w:spacing w:line="360" w:lineRule="auto"/>
              <w:ind w:firstLine="480" w:firstLineChars="200"/>
              <w:rPr>
                <w:rFonts w:ascii="宋体" w:hAnsi="宋体" w:cs="宋体"/>
                <w:sz w:val="24"/>
              </w:rPr>
            </w:pPr>
            <w:r>
              <w:rPr>
                <w:rFonts w:hint="eastAsia" w:ascii="宋体" w:hAnsi="宋体" w:cs="宋体"/>
                <w:bCs/>
                <w:sz w:val="24"/>
              </w:rPr>
              <w:t>本项目</w:t>
            </w:r>
            <w:r>
              <w:rPr>
                <w:rFonts w:hint="eastAsia" w:ascii="宋体" w:hAnsi="宋体" w:cs="宋体"/>
                <w:sz w:val="24"/>
              </w:rPr>
              <w:t>采购预算</w:t>
            </w:r>
            <w:r>
              <w:rPr>
                <w:rFonts w:hint="eastAsia" w:ascii="宋体" w:hAnsi="宋体" w:cs="宋体"/>
                <w:bCs/>
                <w:sz w:val="24"/>
              </w:rPr>
              <w:t>：</w:t>
            </w:r>
            <w:r>
              <w:rPr>
                <w:rFonts w:ascii="宋体" w:hAnsi="宋体" w:cs="宋体"/>
                <w:bCs/>
                <w:sz w:val="24"/>
              </w:rPr>
              <w:t>6</w:t>
            </w:r>
            <w:r>
              <w:rPr>
                <w:rFonts w:hint="eastAsia" w:ascii="宋体" w:hAnsi="宋体" w:cs="宋体"/>
                <w:bCs/>
                <w:sz w:val="24"/>
              </w:rPr>
              <w:t>万元/年</w:t>
            </w:r>
            <w:r>
              <w:rPr>
                <w:rFonts w:hint="eastAsia" w:ascii="宋体" w:hAnsi="宋体" w:cs="宋体"/>
                <w:sz w:val="24"/>
              </w:rPr>
              <w:t>；</w:t>
            </w:r>
          </w:p>
          <w:p>
            <w:pPr>
              <w:pStyle w:val="65"/>
              <w:adjustRightInd/>
              <w:spacing w:line="360" w:lineRule="auto"/>
              <w:ind w:firstLine="480" w:firstLineChars="200"/>
              <w:jc w:val="both"/>
              <w:rPr>
                <w:color w:val="000000"/>
                <w:lang w:val="zh-CN"/>
              </w:rPr>
            </w:pPr>
            <w:r>
              <w:rPr>
                <w:rFonts w:hint="eastAsia"/>
              </w:rPr>
              <w:t>超过采购预算的响应为无效响应</w:t>
            </w:r>
            <w:r>
              <w:rPr>
                <w:rFonts w:hint="eastAsia"/>
                <w:color w:val="000000"/>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lang w:val="zh-CN"/>
              </w:rPr>
            </w:pPr>
            <w:r>
              <w:rPr>
                <w:rFonts w:hint="eastAsia"/>
                <w:color w:val="000000"/>
                <w:lang w:val="zh-CN"/>
              </w:rPr>
              <w:t>2</w:t>
            </w:r>
          </w:p>
        </w:tc>
        <w:tc>
          <w:tcPr>
            <w:tcW w:w="2200" w:type="dxa"/>
            <w:vAlign w:val="center"/>
          </w:tcPr>
          <w:p>
            <w:pPr>
              <w:pStyle w:val="65"/>
              <w:adjustRightInd/>
              <w:spacing w:line="360" w:lineRule="auto"/>
              <w:jc w:val="center"/>
              <w:rPr>
                <w:b/>
                <w:color w:val="000000"/>
                <w:lang w:val="zh-CN"/>
              </w:rPr>
            </w:pPr>
            <w:r>
              <w:rPr>
                <w:rFonts w:hint="eastAsia"/>
                <w:b/>
                <w:color w:val="000000"/>
                <w:lang w:val="zh-CN"/>
              </w:rPr>
              <w:t>最高限价</w:t>
            </w:r>
          </w:p>
          <w:p>
            <w:pPr>
              <w:pStyle w:val="65"/>
              <w:adjustRightInd/>
              <w:spacing w:line="360" w:lineRule="auto"/>
              <w:jc w:val="center"/>
              <w:rPr>
                <w:color w:val="000000"/>
                <w:lang w:val="zh-CN"/>
              </w:rPr>
            </w:pPr>
            <w:r>
              <w:rPr>
                <w:rFonts w:hint="eastAsia"/>
                <w:b/>
                <w:color w:val="000000"/>
                <w:lang w:val="zh-CN"/>
              </w:rPr>
              <w:t>（实质性要求）</w:t>
            </w:r>
          </w:p>
        </w:tc>
        <w:tc>
          <w:tcPr>
            <w:tcW w:w="6676" w:type="dxa"/>
            <w:vAlign w:val="center"/>
          </w:tcPr>
          <w:p>
            <w:pPr>
              <w:pStyle w:val="65"/>
              <w:adjustRightInd/>
              <w:spacing w:line="360" w:lineRule="auto"/>
              <w:ind w:firstLine="480" w:firstLineChars="200"/>
              <w:jc w:val="both"/>
              <w:rPr>
                <w:color w:val="000000"/>
                <w:lang w:val="zh-CN"/>
              </w:rPr>
            </w:pPr>
            <w:r>
              <w:rPr>
                <w:rFonts w:hint="eastAsia"/>
                <w:bCs/>
              </w:rPr>
              <w:t>本项目</w:t>
            </w:r>
            <w:r>
              <w:rPr>
                <w:rFonts w:hint="eastAsia"/>
                <w:color w:val="000000"/>
                <w:lang w:val="zh-CN"/>
              </w:rPr>
              <w:t>最高限价：</w:t>
            </w:r>
            <w:r>
              <w:rPr>
                <w:color w:val="000000"/>
              </w:rPr>
              <w:t>6</w:t>
            </w:r>
            <w:r>
              <w:rPr>
                <w:rFonts w:hint="eastAsia"/>
                <w:bCs/>
              </w:rPr>
              <w:t>万元/年</w:t>
            </w:r>
            <w:r>
              <w:rPr>
                <w:rFonts w:hint="eastAsia"/>
                <w:color w:val="000000"/>
                <w:lang w:val="zh-CN"/>
              </w:rPr>
              <w:t>；</w:t>
            </w:r>
          </w:p>
          <w:p>
            <w:pPr>
              <w:pStyle w:val="65"/>
              <w:adjustRightInd/>
              <w:spacing w:line="360" w:lineRule="auto"/>
              <w:ind w:firstLine="480" w:firstLineChars="200"/>
              <w:jc w:val="both"/>
              <w:rPr>
                <w:color w:val="000000"/>
                <w:lang w:val="zh-CN"/>
              </w:rPr>
            </w:pPr>
            <w:r>
              <w:rPr>
                <w:rFonts w:hint="eastAsia"/>
                <w:color w:val="000000"/>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4" w:hRule="atLeast"/>
          <w:jc w:val="center"/>
        </w:trPr>
        <w:tc>
          <w:tcPr>
            <w:tcW w:w="503" w:type="dxa"/>
            <w:vAlign w:val="center"/>
          </w:tcPr>
          <w:p>
            <w:pPr>
              <w:pStyle w:val="65"/>
              <w:adjustRightInd/>
              <w:spacing w:line="360" w:lineRule="auto"/>
              <w:jc w:val="center"/>
              <w:rPr>
                <w:color w:val="000000"/>
              </w:rPr>
            </w:pPr>
            <w:r>
              <w:rPr>
                <w:rFonts w:hint="eastAsia"/>
                <w:color w:val="000000"/>
              </w:rPr>
              <w:t>3</w:t>
            </w:r>
          </w:p>
        </w:tc>
        <w:tc>
          <w:tcPr>
            <w:tcW w:w="2200" w:type="dxa"/>
            <w:vAlign w:val="center"/>
          </w:tcPr>
          <w:p>
            <w:pPr>
              <w:pStyle w:val="65"/>
              <w:adjustRightInd/>
              <w:spacing w:line="360" w:lineRule="auto"/>
              <w:jc w:val="center"/>
              <w:rPr>
                <w:b/>
                <w:lang w:val="zh-CN"/>
              </w:rPr>
            </w:pPr>
            <w:r>
              <w:rPr>
                <w:rFonts w:hint="eastAsia"/>
                <w:b/>
              </w:rPr>
              <w:t>是否专门面向中小企业</w:t>
            </w:r>
          </w:p>
        </w:tc>
        <w:tc>
          <w:tcPr>
            <w:tcW w:w="6676" w:type="dxa"/>
            <w:vAlign w:val="center"/>
          </w:tcPr>
          <w:p>
            <w:pPr>
              <w:widowControl/>
              <w:spacing w:line="360" w:lineRule="auto"/>
              <w:ind w:firstLine="480" w:firstLineChars="200"/>
              <w:rPr>
                <w:rFonts w:ascii="宋体" w:hAnsi="宋体" w:cs="宋体"/>
                <w:sz w:val="24"/>
                <w:lang w:val="zh-CN"/>
              </w:rPr>
            </w:pPr>
            <w:r>
              <w:rPr>
                <w:rFonts w:hint="eastAsia" w:ascii="宋体" w:hAnsi="宋体" w:cs="宋体"/>
                <w:sz w:val="24"/>
              </w:rPr>
              <w:t>本项目专门面向中小企业：是□；否☑；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lang w:val="zh-CN"/>
              </w:rPr>
            </w:pPr>
            <w:r>
              <w:rPr>
                <w:rFonts w:hint="eastAsia"/>
                <w:color w:val="000000"/>
              </w:rPr>
              <w:t>4</w:t>
            </w:r>
          </w:p>
        </w:tc>
        <w:tc>
          <w:tcPr>
            <w:tcW w:w="2200" w:type="dxa"/>
            <w:vAlign w:val="center"/>
          </w:tcPr>
          <w:p>
            <w:pPr>
              <w:pStyle w:val="65"/>
              <w:adjustRightInd/>
              <w:spacing w:line="360" w:lineRule="auto"/>
              <w:jc w:val="center"/>
              <w:rPr>
                <w:color w:val="000000"/>
                <w:lang w:val="zh-CN"/>
              </w:rPr>
            </w:pPr>
            <w:r>
              <w:rPr>
                <w:rFonts w:hint="eastAsia"/>
                <w:b/>
                <w:color w:val="000000"/>
                <w:lang w:val="zh-CN"/>
              </w:rPr>
              <w:t>是否接受联合体</w:t>
            </w:r>
          </w:p>
        </w:tc>
        <w:tc>
          <w:tcPr>
            <w:tcW w:w="6676" w:type="dxa"/>
            <w:vAlign w:val="center"/>
          </w:tcPr>
          <w:p>
            <w:pPr>
              <w:pStyle w:val="65"/>
              <w:adjustRightInd/>
              <w:spacing w:line="360" w:lineRule="auto"/>
              <w:ind w:firstLine="480" w:firstLineChars="200"/>
              <w:jc w:val="both"/>
              <w:rPr>
                <w:color w:val="000000"/>
                <w:lang w:val="zh-CN"/>
              </w:rPr>
            </w:pPr>
            <w:r>
              <w:rPr>
                <w:rFonts w:hint="eastAsia"/>
                <w:kern w:val="2"/>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lang w:val="zh-CN"/>
              </w:rPr>
            </w:pPr>
            <w:r>
              <w:rPr>
                <w:rFonts w:hint="eastAsia"/>
                <w:color w:val="000000"/>
              </w:rPr>
              <w:t>5</w:t>
            </w:r>
          </w:p>
        </w:tc>
        <w:tc>
          <w:tcPr>
            <w:tcW w:w="2200" w:type="dxa"/>
            <w:vAlign w:val="center"/>
          </w:tcPr>
          <w:p>
            <w:pPr>
              <w:pStyle w:val="65"/>
              <w:adjustRightInd/>
              <w:spacing w:line="360" w:lineRule="auto"/>
              <w:jc w:val="center"/>
              <w:rPr>
                <w:b/>
              </w:rPr>
            </w:pPr>
            <w:r>
              <w:rPr>
                <w:rFonts w:hint="eastAsia"/>
                <w:b/>
              </w:rPr>
              <w:t>低于成本价</w:t>
            </w:r>
          </w:p>
          <w:p>
            <w:pPr>
              <w:pStyle w:val="65"/>
              <w:adjustRightInd/>
              <w:spacing w:line="360" w:lineRule="auto"/>
              <w:jc w:val="center"/>
              <w:rPr>
                <w:b/>
              </w:rPr>
            </w:pPr>
            <w:r>
              <w:rPr>
                <w:rFonts w:hint="eastAsia"/>
                <w:b/>
              </w:rPr>
              <w:t>不正当竞争预防措施</w:t>
            </w:r>
          </w:p>
          <w:p>
            <w:pPr>
              <w:pStyle w:val="65"/>
              <w:adjustRightInd/>
              <w:spacing w:line="360" w:lineRule="auto"/>
              <w:jc w:val="center"/>
            </w:pPr>
            <w:r>
              <w:rPr>
                <w:rFonts w:hint="eastAsia"/>
                <w:b/>
              </w:rPr>
              <w:t>（实质性要求）</w:t>
            </w:r>
          </w:p>
        </w:tc>
        <w:tc>
          <w:tcPr>
            <w:tcW w:w="6676" w:type="dxa"/>
            <w:vAlign w:val="center"/>
          </w:tcPr>
          <w:p>
            <w:pPr>
              <w:pStyle w:val="65"/>
              <w:adjustRightInd/>
              <w:spacing w:line="360" w:lineRule="auto"/>
              <w:ind w:firstLine="480" w:firstLineChars="200"/>
              <w:jc w:val="both"/>
            </w:pPr>
            <w:r>
              <w:rPr>
                <w:rFonts w:hint="eastAsia"/>
              </w:rPr>
              <w:t>5.1 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作为无效响应处理。</w:t>
            </w:r>
          </w:p>
          <w:p>
            <w:pPr>
              <w:pStyle w:val="65"/>
              <w:adjustRightInd/>
              <w:spacing w:line="360" w:lineRule="auto"/>
              <w:ind w:firstLine="480" w:firstLineChars="200"/>
              <w:jc w:val="both"/>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5.2 供应商书面说明应当签字确认或者加盖公章，否则无效。书面说明的签字确认，由其法定代表人（负责人）/主要负责人/本人或者其授权代表签字确认。 </w:t>
            </w:r>
          </w:p>
          <w:p>
            <w:pPr>
              <w:spacing w:line="360" w:lineRule="auto"/>
              <w:ind w:firstLine="480" w:firstLineChars="200"/>
              <w:rPr>
                <w:rFonts w:ascii="宋体" w:hAnsi="宋体" w:cs="宋体"/>
                <w:sz w:val="24"/>
              </w:rPr>
            </w:pPr>
            <w:r>
              <w:rPr>
                <w:rFonts w:hint="eastAsia" w:ascii="宋体" w:hAnsi="宋体" w:cs="宋体"/>
                <w:color w:val="000000"/>
                <w:sz w:val="24"/>
              </w:rPr>
              <w:t>5.3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lang w:val="zh-CN"/>
              </w:rPr>
            </w:pPr>
            <w:r>
              <w:rPr>
                <w:rFonts w:hint="eastAsia"/>
              </w:rPr>
              <w:t>6</w:t>
            </w:r>
          </w:p>
        </w:tc>
        <w:tc>
          <w:tcPr>
            <w:tcW w:w="2200" w:type="dxa"/>
            <w:vAlign w:val="center"/>
          </w:tcPr>
          <w:p>
            <w:pPr>
              <w:pStyle w:val="65"/>
              <w:adjustRightInd/>
              <w:spacing w:line="360" w:lineRule="auto"/>
              <w:jc w:val="center"/>
              <w:rPr>
                <w:lang w:val="zh-CN"/>
              </w:rPr>
            </w:pPr>
            <w:r>
              <w:rPr>
                <w:rFonts w:hint="eastAsia"/>
                <w:b/>
                <w:lang w:val="zh-CN"/>
              </w:rPr>
              <w:t>小微企业（监狱企业、残疾人福利性单位视同小微企业）价格扣除</w:t>
            </w:r>
          </w:p>
        </w:tc>
        <w:tc>
          <w:tcPr>
            <w:tcW w:w="6676" w:type="dxa"/>
          </w:tcPr>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6.1小微企业（监狱企业、残疾人福利性单位视同小微企业）价格扣除</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6.1.1根据《关于进一步加大政府采购支持中小企业力度的通知》（财库〔2022〕19号）的规定，对小型和微型企业产品的价格给予20%的价格扣除，用扣除后的价格参与评标。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6.1.2参加政府采购活动的中小企业应当提供《中小企业声明函》原件；若提供虚假《中小企业声明函》的，以提供虚假材料谋取成交予以认定。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6.1.3参加政府采购活动的监狱企业应当提供省级以上监狱管理局、戒毒管理局（含新疆生产建设兵团）出具的属于监狱企业的证明文件。监狱企业属于小型、微型企业的，不重复享受政策。</w:t>
            </w:r>
          </w:p>
          <w:p>
            <w:pPr>
              <w:widowControl/>
              <w:spacing w:line="360" w:lineRule="auto"/>
              <w:ind w:firstLine="480" w:firstLineChars="200"/>
              <w:jc w:val="left"/>
              <w:rPr>
                <w:rFonts w:ascii="宋体" w:hAnsi="宋体" w:cs="宋体"/>
                <w:sz w:val="24"/>
                <w:highlight w:val="green"/>
              </w:rPr>
            </w:pPr>
            <w:r>
              <w:rPr>
                <w:rFonts w:hint="eastAsia" w:ascii="宋体" w:hAnsi="宋体" w:cs="宋体"/>
                <w:kern w:val="0"/>
                <w:sz w:val="24"/>
              </w:rPr>
              <w:t>6.1.4符合《关于促进残疾人就业政府采购政策的通知》（财库〔2017〕141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6.1.5符合中小企业划型标准的个体工商户，在采购活动中视同中小企业。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pPr>
            <w:r>
              <w:rPr>
                <w:rFonts w:hint="eastAsia"/>
              </w:rPr>
              <w:t>8</w:t>
            </w:r>
          </w:p>
        </w:tc>
        <w:tc>
          <w:tcPr>
            <w:tcW w:w="2200" w:type="dxa"/>
            <w:vAlign w:val="center"/>
          </w:tcPr>
          <w:p>
            <w:pPr>
              <w:keepNext/>
              <w:wordWrap w:val="0"/>
              <w:spacing w:line="360" w:lineRule="auto"/>
              <w:jc w:val="center"/>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本项目标的名称及所属行业</w:t>
            </w:r>
          </w:p>
        </w:tc>
        <w:tc>
          <w:tcPr>
            <w:tcW w:w="6676" w:type="dxa"/>
            <w:vAlign w:val="center"/>
          </w:tcPr>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7.1 标的名称：院医学装备技术维保服务；</w:t>
            </w:r>
          </w:p>
          <w:p>
            <w:pPr>
              <w:widowControl/>
              <w:spacing w:line="360" w:lineRule="auto"/>
              <w:ind w:firstLine="480" w:firstLineChars="200"/>
              <w:jc w:val="left"/>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7.2 所属行业：医疗行业。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lang w:val="zh-CN"/>
              </w:rPr>
            </w:pPr>
            <w:r>
              <w:rPr>
                <w:rFonts w:hint="eastAsia"/>
                <w:color w:val="000000"/>
              </w:rPr>
              <w:t>9</w:t>
            </w:r>
          </w:p>
        </w:tc>
        <w:tc>
          <w:tcPr>
            <w:tcW w:w="2200" w:type="dxa"/>
            <w:vAlign w:val="center"/>
          </w:tcPr>
          <w:p>
            <w:pPr>
              <w:pStyle w:val="65"/>
              <w:adjustRightInd/>
              <w:spacing w:line="360" w:lineRule="auto"/>
              <w:jc w:val="center"/>
              <w:rPr>
                <w:color w:val="000000"/>
                <w:lang w:val="zh-CN"/>
              </w:rPr>
            </w:pPr>
            <w:r>
              <w:rPr>
                <w:rFonts w:hint="eastAsia"/>
                <w:color w:val="000000"/>
                <w:lang w:val="zh-CN"/>
              </w:rPr>
              <w:t>解释</w:t>
            </w:r>
          </w:p>
        </w:tc>
        <w:tc>
          <w:tcPr>
            <w:tcW w:w="6676" w:type="dxa"/>
            <w:vAlign w:val="center"/>
          </w:tcPr>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竞争性磋商文件第三章第（5款）中“重大违法记录”是指：供应商因违法经营受到刑事处罚或者责令停产、吊销许可证或者执照、较大数额的罚款等行政处罚。其中较大数额罚款的具体金额标准</w:t>
            </w:r>
            <w:r>
              <w:rPr>
                <w:rFonts w:hint="eastAsia" w:ascii="宋体" w:hAnsi="宋体" w:cs="宋体"/>
                <w:sz w:val="24"/>
              </w:rPr>
              <w:t>以财库</w:t>
            </w:r>
            <w:r>
              <w:rPr>
                <w:rFonts w:hint="eastAsia" w:ascii="宋体" w:hAnsi="宋体" w:cs="宋体"/>
                <w:kern w:val="0"/>
                <w:sz w:val="24"/>
              </w:rPr>
              <w:t>〔2022〕3号文为准，即</w:t>
            </w:r>
            <w:r>
              <w:rPr>
                <w:rFonts w:hint="eastAsia" w:ascii="宋体" w:hAnsi="宋体" w:cs="宋体"/>
                <w:sz w:val="24"/>
              </w:rPr>
              <w:t>：认定为200万元以上的罚款，法律、行政法规以及国务院有关部门明确规定相关领域“较大数额罚款”标准高于200万元的，从其规定。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rPr>
            </w:pPr>
            <w:r>
              <w:rPr>
                <w:rFonts w:hint="eastAsia"/>
                <w:color w:val="000000"/>
              </w:rPr>
              <w:t>10</w:t>
            </w:r>
          </w:p>
        </w:tc>
        <w:tc>
          <w:tcPr>
            <w:tcW w:w="2200" w:type="dxa"/>
            <w:vAlign w:val="center"/>
          </w:tcPr>
          <w:p>
            <w:pPr>
              <w:pStyle w:val="65"/>
              <w:adjustRightInd/>
              <w:spacing w:line="360" w:lineRule="auto"/>
              <w:jc w:val="center"/>
              <w:rPr>
                <w:color w:val="000000"/>
                <w:lang w:val="zh-CN"/>
              </w:rPr>
            </w:pPr>
            <w:r>
              <w:rPr>
                <w:rFonts w:hint="eastAsia"/>
                <w:color w:val="000000"/>
                <w:lang w:val="zh-CN"/>
              </w:rPr>
              <w:t>磋商情况公告</w:t>
            </w:r>
          </w:p>
        </w:tc>
        <w:tc>
          <w:tcPr>
            <w:tcW w:w="6676" w:type="dxa"/>
            <w:vAlign w:val="center"/>
          </w:tcPr>
          <w:p>
            <w:pPr>
              <w:pStyle w:val="65"/>
              <w:adjustRightInd/>
              <w:spacing w:line="360" w:lineRule="auto"/>
              <w:ind w:firstLine="480" w:firstLineChars="200"/>
              <w:jc w:val="both"/>
              <w:rPr>
                <w:color w:val="000000"/>
                <w:lang w:val="zh-CN"/>
              </w:rPr>
            </w:pPr>
            <w:r>
              <w:rPr>
                <w:rFonts w:hint="eastAsia"/>
                <w:color w:val="000000"/>
                <w:lang w:val="zh-CN"/>
              </w:rPr>
              <w:t>供应商资格审查情况、磋商情况、报价情况、磋商结果等在绵竹市中医医院官网公告栏中予以公告。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rPr>
            </w:pPr>
            <w:r>
              <w:rPr>
                <w:rFonts w:hint="eastAsia"/>
                <w:color w:val="000000"/>
              </w:rPr>
              <w:t>11</w:t>
            </w:r>
          </w:p>
        </w:tc>
        <w:tc>
          <w:tcPr>
            <w:tcW w:w="2200" w:type="dxa"/>
            <w:vAlign w:val="center"/>
          </w:tcPr>
          <w:p>
            <w:pPr>
              <w:pStyle w:val="65"/>
              <w:adjustRightInd/>
              <w:spacing w:line="360" w:lineRule="auto"/>
              <w:jc w:val="center"/>
              <w:rPr>
                <w:b/>
                <w:color w:val="000000"/>
                <w:lang w:val="zh-CN"/>
              </w:rPr>
            </w:pPr>
            <w:r>
              <w:rPr>
                <w:rFonts w:hint="eastAsia"/>
                <w:b/>
                <w:color w:val="000000"/>
                <w:lang w:val="zh-CN"/>
              </w:rPr>
              <w:t>磋商保证金</w:t>
            </w:r>
          </w:p>
          <w:p>
            <w:pPr>
              <w:pStyle w:val="65"/>
              <w:adjustRightInd/>
              <w:spacing w:line="360" w:lineRule="auto"/>
              <w:jc w:val="center"/>
              <w:rPr>
                <w:b/>
                <w:color w:val="000000"/>
                <w:lang w:val="zh-CN"/>
              </w:rPr>
            </w:pPr>
            <w:r>
              <w:rPr>
                <w:rFonts w:hint="eastAsia"/>
                <w:b/>
                <w:color w:val="000000"/>
                <w:lang w:val="zh-CN"/>
              </w:rPr>
              <w:t>（实质性要求）</w:t>
            </w:r>
          </w:p>
        </w:tc>
        <w:tc>
          <w:tcPr>
            <w:tcW w:w="6676" w:type="dxa"/>
            <w:vAlign w:val="center"/>
          </w:tcPr>
          <w:p>
            <w:pPr>
              <w:pStyle w:val="65"/>
              <w:adjustRightInd/>
              <w:spacing w:line="360" w:lineRule="auto"/>
              <w:ind w:firstLine="480" w:firstLineChars="200"/>
              <w:jc w:val="both"/>
              <w:rPr>
                <w:color w:val="000000"/>
                <w:lang w:val="zh-CN"/>
              </w:rPr>
            </w:pPr>
            <w:r>
              <w:rPr>
                <w:rFonts w:hint="eastAsia"/>
                <w:bCs/>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rPr>
            </w:pPr>
            <w:r>
              <w:rPr>
                <w:rFonts w:hint="eastAsia"/>
                <w:color w:val="000000"/>
              </w:rPr>
              <w:t>12</w:t>
            </w:r>
          </w:p>
        </w:tc>
        <w:tc>
          <w:tcPr>
            <w:tcW w:w="2200" w:type="dxa"/>
            <w:vAlign w:val="center"/>
          </w:tcPr>
          <w:p>
            <w:pPr>
              <w:pStyle w:val="65"/>
              <w:adjustRightInd/>
              <w:spacing w:line="360" w:lineRule="auto"/>
              <w:jc w:val="center"/>
              <w:rPr>
                <w:b/>
                <w:color w:val="000000"/>
                <w:lang w:val="zh-CN"/>
              </w:rPr>
            </w:pPr>
            <w:r>
              <w:rPr>
                <w:rFonts w:hint="eastAsia"/>
                <w:b/>
                <w:color w:val="000000"/>
                <w:lang w:val="zh-CN"/>
              </w:rPr>
              <w:t>履约保证金</w:t>
            </w:r>
          </w:p>
          <w:p>
            <w:pPr>
              <w:pStyle w:val="65"/>
              <w:adjustRightInd/>
              <w:spacing w:line="360" w:lineRule="auto"/>
              <w:jc w:val="center"/>
              <w:rPr>
                <w:b/>
                <w:color w:val="000000"/>
                <w:lang w:val="zh-CN"/>
              </w:rPr>
            </w:pPr>
            <w:r>
              <w:rPr>
                <w:rFonts w:hint="eastAsia"/>
                <w:b/>
                <w:color w:val="000000"/>
                <w:lang w:val="zh-CN"/>
              </w:rPr>
              <w:t>（实质性要求）</w:t>
            </w:r>
          </w:p>
        </w:tc>
        <w:tc>
          <w:tcPr>
            <w:tcW w:w="6676" w:type="dxa"/>
            <w:vAlign w:val="center"/>
          </w:tcPr>
          <w:p>
            <w:pPr>
              <w:pStyle w:val="65"/>
              <w:adjustRightInd/>
              <w:spacing w:line="360" w:lineRule="auto"/>
              <w:ind w:firstLine="480" w:firstLineChars="200"/>
              <w:jc w:val="both"/>
              <w:rPr>
                <w:color w:val="000000"/>
                <w:lang w:val="zh-CN"/>
              </w:rPr>
            </w:pPr>
            <w:r>
              <w:rPr>
                <w:rFonts w:hint="eastAsia"/>
                <w:bCs/>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rPr>
            </w:pPr>
            <w:r>
              <w:rPr>
                <w:rFonts w:hint="eastAsia"/>
                <w:color w:val="000000"/>
              </w:rPr>
              <w:t>13</w:t>
            </w:r>
          </w:p>
        </w:tc>
        <w:tc>
          <w:tcPr>
            <w:tcW w:w="2200" w:type="dxa"/>
            <w:vAlign w:val="center"/>
          </w:tcPr>
          <w:p>
            <w:pPr>
              <w:pStyle w:val="65"/>
              <w:adjustRightInd/>
              <w:spacing w:line="360" w:lineRule="auto"/>
              <w:jc w:val="center"/>
              <w:rPr>
                <w:b/>
                <w:bCs/>
                <w:kern w:val="2"/>
                <w:lang w:val="zh-CN"/>
              </w:rPr>
            </w:pPr>
            <w:r>
              <w:rPr>
                <w:rFonts w:hint="eastAsia"/>
                <w:b/>
                <w:bCs/>
                <w:kern w:val="2"/>
                <w:lang w:val="zh-CN"/>
              </w:rPr>
              <w:t>合同分包</w:t>
            </w:r>
          </w:p>
          <w:p>
            <w:pPr>
              <w:pStyle w:val="65"/>
              <w:adjustRightInd/>
              <w:spacing w:line="360" w:lineRule="auto"/>
              <w:jc w:val="center"/>
              <w:rPr>
                <w:kern w:val="2"/>
                <w:lang w:val="zh-CN"/>
              </w:rPr>
            </w:pPr>
            <w:r>
              <w:rPr>
                <w:rFonts w:hint="eastAsia"/>
                <w:b/>
                <w:lang w:val="zh-CN"/>
              </w:rPr>
              <w:t>（实质性要求）</w:t>
            </w:r>
          </w:p>
        </w:tc>
        <w:tc>
          <w:tcPr>
            <w:tcW w:w="6676" w:type="dxa"/>
            <w:vAlign w:val="center"/>
          </w:tcPr>
          <w:p>
            <w:pPr>
              <w:spacing w:line="360" w:lineRule="auto"/>
              <w:ind w:firstLine="480" w:firstLineChars="200"/>
              <w:rPr>
                <w:rFonts w:ascii="宋体" w:hAnsi="宋体" w:cs="宋体"/>
                <w:sz w:val="24"/>
                <w:lang w:val="zh-CN"/>
              </w:rPr>
            </w:pPr>
            <w:r>
              <w:rPr>
                <w:rFonts w:hint="eastAsia" w:ascii="宋体" w:hAnsi="宋体" w:cs="宋体"/>
                <w:sz w:val="24"/>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rPr>
            </w:pPr>
            <w:r>
              <w:rPr>
                <w:rFonts w:hint="eastAsia"/>
                <w:color w:val="000000"/>
              </w:rPr>
              <w:t>1</w:t>
            </w:r>
            <w:r>
              <w:rPr>
                <w:color w:val="000000"/>
              </w:rPr>
              <w:t>4</w:t>
            </w:r>
          </w:p>
        </w:tc>
        <w:tc>
          <w:tcPr>
            <w:tcW w:w="2200" w:type="dxa"/>
            <w:vAlign w:val="center"/>
          </w:tcPr>
          <w:p>
            <w:pPr>
              <w:pStyle w:val="65"/>
              <w:adjustRightInd/>
              <w:spacing w:line="360" w:lineRule="auto"/>
              <w:jc w:val="center"/>
              <w:rPr>
                <w:color w:val="000000"/>
                <w:lang w:val="zh-CN"/>
              </w:rPr>
            </w:pPr>
            <w:r>
              <w:rPr>
                <w:rFonts w:hint="eastAsia"/>
                <w:color w:val="000000"/>
                <w:lang w:val="zh-CN"/>
              </w:rPr>
              <w:t>咨询</w:t>
            </w:r>
          </w:p>
        </w:tc>
        <w:tc>
          <w:tcPr>
            <w:tcW w:w="6676" w:type="dxa"/>
            <w:vAlign w:val="center"/>
          </w:tcPr>
          <w:p>
            <w:pPr>
              <w:pStyle w:val="65"/>
              <w:adjustRightInd/>
              <w:spacing w:line="360" w:lineRule="auto"/>
              <w:ind w:firstLine="480" w:firstLineChars="200"/>
              <w:jc w:val="both"/>
              <w:rPr>
                <w:color w:val="000000"/>
                <w:lang w:val="zh-CN"/>
              </w:rPr>
            </w:pPr>
            <w:r>
              <w:rPr>
                <w:rFonts w:hint="eastAsia"/>
                <w:color w:val="000000"/>
                <w:lang w:val="zh-CN"/>
              </w:rPr>
              <w:t>供应商需对磋商文件、磋商过程、结果进行询问，可电话咨询绵竹市中医医院采管办。</w:t>
            </w:r>
          </w:p>
          <w:p>
            <w:pPr>
              <w:pStyle w:val="65"/>
              <w:adjustRightInd/>
              <w:spacing w:line="360" w:lineRule="auto"/>
              <w:ind w:firstLine="480" w:firstLineChars="200"/>
              <w:jc w:val="both"/>
              <w:rPr>
                <w:color w:val="000000"/>
                <w:lang w:val="zh-CN"/>
              </w:rPr>
            </w:pPr>
            <w:r>
              <w:rPr>
                <w:rFonts w:hint="eastAsia"/>
                <w:color w:val="000000"/>
                <w:lang w:val="zh-CN"/>
              </w:rPr>
              <w:t>联系人：</w:t>
            </w:r>
            <w:r>
              <w:rPr>
                <w:rFonts w:hint="eastAsia"/>
                <w:color w:val="000000"/>
              </w:rPr>
              <w:t xml:space="preserve">秦老师 </w:t>
            </w:r>
            <w:r>
              <w:rPr>
                <w:rFonts w:hint="eastAsia"/>
                <w:color w:val="000000"/>
                <w:lang w:val="zh-CN"/>
              </w:rPr>
              <w:t xml:space="preserve"> 联系电话：1</w:t>
            </w:r>
            <w:r>
              <w:rPr>
                <w:color w:val="000000"/>
                <w:lang w:val="zh-CN"/>
              </w:rPr>
              <w:t>8016120212</w:t>
            </w:r>
            <w:r>
              <w:rPr>
                <w:rFonts w:hint="eastAsia"/>
                <w:color w:val="000000"/>
              </w:rPr>
              <w:t xml:space="preserve"> </w:t>
            </w:r>
            <w:r>
              <w:rPr>
                <w:rFonts w:hint="eastAsia"/>
                <w:color w:val="000000"/>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vAlign w:val="center"/>
          </w:tcPr>
          <w:p>
            <w:pPr>
              <w:pStyle w:val="65"/>
              <w:adjustRightInd/>
              <w:spacing w:line="360" w:lineRule="auto"/>
              <w:jc w:val="center"/>
              <w:rPr>
                <w:color w:val="000000"/>
              </w:rPr>
            </w:pPr>
            <w:r>
              <w:rPr>
                <w:rFonts w:hint="eastAsia"/>
                <w:color w:val="000000"/>
              </w:rPr>
              <w:t>1</w:t>
            </w:r>
            <w:r>
              <w:rPr>
                <w:color w:val="000000"/>
              </w:rPr>
              <w:t>5</w:t>
            </w:r>
          </w:p>
        </w:tc>
        <w:tc>
          <w:tcPr>
            <w:tcW w:w="2200" w:type="dxa"/>
            <w:vAlign w:val="center"/>
          </w:tcPr>
          <w:p>
            <w:pPr>
              <w:pStyle w:val="65"/>
              <w:adjustRightInd/>
              <w:spacing w:line="360" w:lineRule="auto"/>
              <w:jc w:val="center"/>
              <w:rPr>
                <w:color w:val="000000"/>
                <w:lang w:val="zh-CN"/>
              </w:rPr>
            </w:pPr>
            <w:r>
              <w:rPr>
                <w:rFonts w:hint="eastAsia"/>
                <w:color w:val="000000"/>
                <w:lang w:val="zh-CN"/>
              </w:rPr>
              <w:t>成交通知书领取</w:t>
            </w:r>
          </w:p>
        </w:tc>
        <w:tc>
          <w:tcPr>
            <w:tcW w:w="6676" w:type="dxa"/>
            <w:vAlign w:val="center"/>
          </w:tcPr>
          <w:p>
            <w:pPr>
              <w:pStyle w:val="65"/>
              <w:adjustRightInd/>
              <w:spacing w:line="360" w:lineRule="auto"/>
              <w:ind w:firstLine="240" w:firstLineChars="100"/>
              <w:rPr>
                <w:color w:val="000000"/>
                <w:lang w:val="zh-CN"/>
              </w:rPr>
            </w:pPr>
            <w:r>
              <w:rPr>
                <w:rFonts w:hint="eastAsia"/>
                <w:color w:val="000000"/>
                <w:lang w:val="zh-CN"/>
              </w:rPr>
              <w:t>采购结果公告在绵竹市中医医院官网发布后，请成交供应商凭有效身份证明证件到</w:t>
            </w:r>
            <w:r>
              <w:rPr>
                <w:rFonts w:hint="eastAsia"/>
                <w:bCs/>
              </w:rPr>
              <w:t>四川省绵竹市紫岩街道紫岩路1</w:t>
            </w:r>
            <w:r>
              <w:rPr>
                <w:bCs/>
              </w:rPr>
              <w:t>50</w:t>
            </w:r>
            <w:r>
              <w:rPr>
                <w:rFonts w:hint="eastAsia"/>
                <w:bCs/>
              </w:rPr>
              <w:t>号5楼采管办</w:t>
            </w:r>
            <w:r>
              <w:rPr>
                <w:rFonts w:hint="eastAsia"/>
                <w:color w:val="000000"/>
                <w:lang w:val="zh-CN"/>
              </w:rPr>
              <w:t>领取成交通知书。</w:t>
            </w:r>
            <w:r>
              <w:rPr>
                <w:rFonts w:hint="eastAsia"/>
                <w:lang w:val="zh-CN"/>
              </w:rPr>
              <w:t>联系</w:t>
            </w:r>
            <w:r>
              <w:rPr>
                <w:rFonts w:hint="eastAsia"/>
                <w:color w:val="000000"/>
                <w:lang w:val="zh-CN"/>
              </w:rPr>
              <w:t>电话：1</w:t>
            </w:r>
            <w:r>
              <w:rPr>
                <w:color w:val="000000"/>
                <w:lang w:val="zh-CN"/>
              </w:rPr>
              <w:t>8016120212</w:t>
            </w:r>
            <w:r>
              <w:rPr>
                <w:rFonts w:hint="eastAsia"/>
                <w:color w:val="000000"/>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tcBorders>
              <w:top w:val="single" w:color="auto" w:sz="8" w:space="0"/>
              <w:left w:val="single" w:color="auto" w:sz="18" w:space="0"/>
              <w:bottom w:val="single" w:color="auto" w:sz="8" w:space="0"/>
              <w:right w:val="single" w:color="auto" w:sz="8" w:space="0"/>
            </w:tcBorders>
            <w:vAlign w:val="center"/>
          </w:tcPr>
          <w:p>
            <w:pPr>
              <w:pStyle w:val="65"/>
              <w:adjustRightInd/>
              <w:spacing w:line="360" w:lineRule="auto"/>
              <w:jc w:val="center"/>
              <w:rPr>
                <w:color w:val="000000"/>
              </w:rPr>
            </w:pPr>
            <w:r>
              <w:rPr>
                <w:rFonts w:hint="eastAsia"/>
                <w:color w:val="000000"/>
              </w:rPr>
              <w:t>1</w:t>
            </w:r>
            <w:r>
              <w:rPr>
                <w:color w:val="000000"/>
              </w:rPr>
              <w:t>7</w:t>
            </w:r>
          </w:p>
        </w:tc>
        <w:tc>
          <w:tcPr>
            <w:tcW w:w="2200" w:type="dxa"/>
            <w:tcBorders>
              <w:top w:val="single" w:color="auto" w:sz="8" w:space="0"/>
              <w:left w:val="single" w:color="auto" w:sz="8" w:space="0"/>
              <w:bottom w:val="single" w:color="auto" w:sz="8" w:space="0"/>
              <w:right w:val="single" w:color="auto" w:sz="8" w:space="0"/>
            </w:tcBorders>
            <w:vAlign w:val="center"/>
          </w:tcPr>
          <w:p>
            <w:pPr>
              <w:pStyle w:val="65"/>
              <w:adjustRightInd/>
              <w:spacing w:line="360" w:lineRule="auto"/>
              <w:jc w:val="center"/>
              <w:rPr>
                <w:lang w:val="zh-CN"/>
              </w:rPr>
            </w:pPr>
            <w:r>
              <w:rPr>
                <w:rFonts w:hint="eastAsia"/>
                <w:lang w:val="zh-CN"/>
              </w:rPr>
              <w:t>质疑和投诉</w:t>
            </w:r>
          </w:p>
        </w:tc>
        <w:tc>
          <w:tcPr>
            <w:tcW w:w="6676" w:type="dxa"/>
            <w:tcBorders>
              <w:top w:val="single" w:color="auto" w:sz="8" w:space="0"/>
              <w:left w:val="single" w:color="auto" w:sz="8" w:space="0"/>
              <w:bottom w:val="single" w:color="auto" w:sz="8" w:space="0"/>
              <w:right w:val="single" w:color="auto" w:sz="18" w:space="0"/>
            </w:tcBorders>
            <w:vAlign w:val="center"/>
          </w:tcPr>
          <w:p>
            <w:pPr>
              <w:pStyle w:val="65"/>
              <w:adjustRightInd/>
              <w:spacing w:line="360" w:lineRule="auto"/>
              <w:ind w:firstLine="240" w:firstLineChars="100"/>
              <w:rPr>
                <w:lang w:val="zh-CN"/>
              </w:rPr>
            </w:pPr>
            <w:r>
              <w:rPr>
                <w:rFonts w:hint="eastAsia"/>
                <w:lang w:val="zh-CN"/>
              </w:rPr>
              <w:t>对磋商文件、磋商过程和磋商结果有质疑或投诉的，可致电</w:t>
            </w:r>
            <w:r>
              <w:rPr>
                <w:rFonts w:hint="eastAsia"/>
                <w:color w:val="000000"/>
                <w:lang w:val="zh-CN"/>
              </w:rPr>
              <w:t>绵竹市中医医院纪检监察室，如有必要可递交书面文件</w:t>
            </w:r>
            <w:r>
              <w:rPr>
                <w:rFonts w:hint="eastAsia"/>
                <w:lang w:val="zh-CN"/>
              </w:rPr>
              <w:t>。</w:t>
            </w:r>
          </w:p>
          <w:p>
            <w:pPr>
              <w:spacing w:line="360" w:lineRule="auto"/>
              <w:ind w:firstLine="480" w:firstLineChars="200"/>
              <w:jc w:val="left"/>
              <w:rPr>
                <w:rFonts w:ascii="宋体" w:hAnsi="宋体" w:cs="宋体"/>
                <w:sz w:val="24"/>
                <w:lang w:val="zh-CN"/>
              </w:rPr>
            </w:pPr>
            <w:r>
              <w:rPr>
                <w:rFonts w:hint="eastAsia" w:ascii="宋体" w:hAnsi="宋体" w:cs="宋体"/>
                <w:sz w:val="24"/>
                <w:lang w:val="zh-CN"/>
              </w:rPr>
              <w:t>联系人：田老师</w:t>
            </w:r>
            <w:r>
              <w:rPr>
                <w:rFonts w:hint="eastAsia" w:ascii="宋体" w:hAnsi="宋体" w:cs="宋体"/>
                <w:sz w:val="24"/>
              </w:rPr>
              <w:t xml:space="preserve"> </w:t>
            </w:r>
          </w:p>
          <w:p>
            <w:pPr>
              <w:spacing w:line="360" w:lineRule="auto"/>
              <w:ind w:firstLine="480" w:firstLineChars="200"/>
              <w:jc w:val="left"/>
              <w:rPr>
                <w:rFonts w:hint="eastAsia" w:ascii="宋体" w:hAnsi="宋体" w:cs="宋体"/>
                <w:sz w:val="24"/>
              </w:rPr>
            </w:pPr>
            <w:r>
              <w:rPr>
                <w:rFonts w:hint="eastAsia" w:ascii="宋体" w:hAnsi="宋体" w:cs="宋体"/>
                <w:sz w:val="24"/>
                <w:lang w:val="zh-CN"/>
              </w:rPr>
              <w:t>联系电话：1</w:t>
            </w:r>
            <w:r>
              <w:rPr>
                <w:rFonts w:ascii="宋体" w:hAnsi="宋体" w:cs="宋体"/>
                <w:sz w:val="24"/>
                <w:lang w:val="zh-CN"/>
              </w:rPr>
              <w:t>8980176134</w:t>
            </w:r>
            <w:r>
              <w:rPr>
                <w:rFonts w:hint="eastAsia" w:ascii="宋体" w:hAnsi="宋体" w:cs="宋体"/>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03" w:type="dxa"/>
            <w:tcBorders>
              <w:top w:val="single" w:color="auto" w:sz="8" w:space="0"/>
              <w:left w:val="single" w:color="auto" w:sz="18" w:space="0"/>
              <w:bottom w:val="single" w:color="auto" w:sz="8" w:space="0"/>
              <w:right w:val="single" w:color="auto" w:sz="8" w:space="0"/>
            </w:tcBorders>
            <w:vAlign w:val="center"/>
          </w:tcPr>
          <w:p>
            <w:pPr>
              <w:pStyle w:val="65"/>
              <w:adjustRightInd/>
              <w:spacing w:line="360" w:lineRule="auto"/>
              <w:jc w:val="center"/>
              <w:rPr>
                <w:color w:val="000000"/>
              </w:rPr>
            </w:pPr>
            <w:r>
              <w:rPr>
                <w:color w:val="000000"/>
              </w:rPr>
              <w:t>18</w:t>
            </w:r>
          </w:p>
        </w:tc>
        <w:tc>
          <w:tcPr>
            <w:tcW w:w="2200" w:type="dxa"/>
            <w:tcBorders>
              <w:top w:val="single" w:color="auto" w:sz="8" w:space="0"/>
              <w:left w:val="single" w:color="auto" w:sz="8" w:space="0"/>
              <w:bottom w:val="single" w:color="auto" w:sz="8" w:space="0"/>
              <w:right w:val="single" w:color="auto" w:sz="8" w:space="0"/>
            </w:tcBorders>
            <w:vAlign w:val="center"/>
          </w:tcPr>
          <w:p>
            <w:pPr>
              <w:spacing w:line="360" w:lineRule="auto"/>
              <w:ind w:firstLine="120" w:firstLineChars="50"/>
              <w:jc w:val="center"/>
              <w:rPr>
                <w:rFonts w:ascii="宋体" w:hAnsi="宋体" w:cs="宋体"/>
                <w:sz w:val="24"/>
                <w:lang w:val="zh-CN"/>
              </w:rPr>
            </w:pPr>
            <w:r>
              <w:rPr>
                <w:rFonts w:hint="eastAsia" w:ascii="宋体" w:hAnsi="宋体" w:cs="宋体"/>
                <w:sz w:val="24"/>
                <w:lang w:val="zh-CN"/>
              </w:rPr>
              <w:t>承诺提醒</w:t>
            </w:r>
          </w:p>
        </w:tc>
        <w:tc>
          <w:tcPr>
            <w:tcW w:w="6676" w:type="dxa"/>
            <w:tcBorders>
              <w:top w:val="single" w:color="auto" w:sz="8" w:space="0"/>
              <w:left w:val="single" w:color="auto" w:sz="8" w:space="0"/>
              <w:bottom w:val="single" w:color="auto" w:sz="8" w:space="0"/>
              <w:right w:val="single" w:color="auto" w:sz="18" w:space="0"/>
            </w:tcBorders>
            <w:vAlign w:val="center"/>
          </w:tcPr>
          <w:p>
            <w:pPr>
              <w:pStyle w:val="13"/>
              <w:spacing w:after="0" w:line="360" w:lineRule="auto"/>
              <w:ind w:firstLine="480" w:firstLineChars="200"/>
              <w:rPr>
                <w:rFonts w:ascii="宋体" w:hAnsi="宋体" w:cs="宋体"/>
                <w:sz w:val="24"/>
              </w:rPr>
            </w:pPr>
            <w:r>
              <w:rPr>
                <w:rFonts w:hint="eastAsia" w:ascii="宋体" w:hAnsi="宋体" w:cs="宋体"/>
                <w:sz w:val="24"/>
                <w:lang w:val="zh-CN"/>
              </w:rPr>
              <w:t>关于供应商针对本项目提出的相关资格或实质性要求承诺（包括但不限于依法缴纳税收和社会保障资金），项目采购活动结束后，采购人或采购代理机构如有必要将核实供应商所作承诺真实性，如提供虚假承诺将报告监管部门严肃追究法律责任。</w:t>
            </w:r>
          </w:p>
        </w:tc>
      </w:tr>
    </w:tbl>
    <w:p>
      <w:pPr>
        <w:spacing w:line="360" w:lineRule="auto"/>
        <w:jc w:val="center"/>
        <w:rPr>
          <w:rFonts w:ascii="宋体" w:hAnsi="宋体" w:cs="宋体"/>
          <w:bCs/>
          <w:color w:val="000000"/>
        </w:rPr>
      </w:pPr>
    </w:p>
    <w:p>
      <w:pPr>
        <w:pStyle w:val="5"/>
        <w:keepNext w:val="0"/>
        <w:keepLines w:val="0"/>
        <w:spacing w:before="0" w:after="0" w:line="360" w:lineRule="auto"/>
        <w:jc w:val="center"/>
        <w:rPr>
          <w:rFonts w:ascii="宋体" w:hAnsi="宋体" w:eastAsia="宋体" w:cs="宋体"/>
          <w:color w:val="000000"/>
          <w:sz w:val="24"/>
        </w:rPr>
      </w:pPr>
      <w:r>
        <w:rPr>
          <w:rFonts w:hint="eastAsia" w:ascii="宋体" w:hAnsi="宋体" w:eastAsia="宋体" w:cs="宋体"/>
          <w:color w:val="000000"/>
        </w:rPr>
        <w:br w:type="page"/>
      </w:r>
      <w:r>
        <w:rPr>
          <w:rFonts w:hint="eastAsia" w:ascii="宋体" w:hAnsi="宋体" w:eastAsia="宋体" w:cs="宋体"/>
          <w:color w:val="000000"/>
        </w:rPr>
        <w:t>二、总  则</w:t>
      </w:r>
      <w:bookmarkStart w:id="15" w:name="_Toc183682342"/>
      <w:bookmarkStart w:id="16" w:name="_Toc183582205"/>
      <w:bookmarkStart w:id="17" w:name="_Toc217446034"/>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w:t>
      </w:r>
      <w:bookmarkEnd w:id="15"/>
      <w:bookmarkEnd w:id="16"/>
      <w:r>
        <w:rPr>
          <w:rFonts w:hint="eastAsia" w:ascii="宋体" w:hAnsi="宋体" w:cs="宋体"/>
          <w:color w:val="000000"/>
          <w:sz w:val="24"/>
          <w:szCs w:val="24"/>
        </w:rPr>
        <w:t>适用范围</w:t>
      </w:r>
      <w:bookmarkEnd w:id="17"/>
    </w:p>
    <w:p>
      <w:pPr>
        <w:tabs>
          <w:tab w:val="left" w:pos="7665"/>
        </w:tabs>
        <w:spacing w:line="360" w:lineRule="auto"/>
        <w:ind w:firstLine="480" w:firstLineChars="200"/>
        <w:rPr>
          <w:rFonts w:ascii="宋体" w:hAnsi="宋体" w:cs="宋体"/>
          <w:sz w:val="24"/>
        </w:rPr>
      </w:pPr>
      <w:r>
        <w:rPr>
          <w:rFonts w:hint="eastAsia" w:ascii="宋体" w:hAnsi="宋体" w:cs="宋体"/>
          <w:color w:val="000000"/>
          <w:sz w:val="24"/>
        </w:rPr>
        <w:t>1.1本竞争性磋商文件仅适用于本次竞争性磋商采购项目。</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1.2 本磋商文件的解释权</w:t>
      </w:r>
      <w:r>
        <w:rPr>
          <w:rFonts w:hint="eastAsia" w:ascii="宋体" w:hAnsi="宋体" w:cs="宋体"/>
          <w:sz w:val="24"/>
        </w:rPr>
        <w:t>归</w:t>
      </w:r>
      <w:r>
        <w:rPr>
          <w:rFonts w:hint="eastAsia" w:ascii="宋体" w:hAnsi="宋体" w:cs="宋体"/>
          <w:color w:val="000000"/>
          <w:sz w:val="24"/>
        </w:rPr>
        <w:t>采购人</w:t>
      </w:r>
      <w:r>
        <w:rPr>
          <w:rFonts w:hint="eastAsia" w:ascii="宋体" w:hAnsi="宋体" w:cs="宋体"/>
          <w:sz w:val="24"/>
        </w:rPr>
        <w:t>所有</w:t>
      </w:r>
      <w:r>
        <w:rPr>
          <w:rFonts w:hint="eastAsia" w:ascii="宋体" w:hAnsi="宋体" w:cs="宋体"/>
          <w:color w:val="000000"/>
          <w:sz w:val="24"/>
        </w:rPr>
        <w:t>。</w:t>
      </w:r>
    </w:p>
    <w:p>
      <w:pPr>
        <w:pStyle w:val="6"/>
        <w:keepNext w:val="0"/>
        <w:keepLines w:val="0"/>
        <w:spacing w:before="0" w:after="0" w:line="360" w:lineRule="auto"/>
        <w:ind w:firstLine="482" w:firstLineChars="200"/>
        <w:rPr>
          <w:rFonts w:ascii="宋体" w:hAnsi="宋体" w:cs="宋体"/>
          <w:color w:val="000000"/>
          <w:sz w:val="24"/>
          <w:szCs w:val="24"/>
        </w:rPr>
      </w:pPr>
      <w:bookmarkStart w:id="18" w:name="_Toc217446035"/>
      <w:bookmarkStart w:id="19" w:name="_Toc183682343"/>
      <w:bookmarkStart w:id="20" w:name="_Toc183582206"/>
      <w:r>
        <w:rPr>
          <w:rFonts w:hint="eastAsia" w:ascii="宋体" w:hAnsi="宋体" w:cs="宋体"/>
          <w:color w:val="000000"/>
          <w:sz w:val="24"/>
          <w:szCs w:val="24"/>
        </w:rPr>
        <w:t>2.</w:t>
      </w:r>
      <w:bookmarkEnd w:id="18"/>
      <w:bookmarkEnd w:id="19"/>
      <w:bookmarkEnd w:id="20"/>
      <w:r>
        <w:rPr>
          <w:rFonts w:hint="eastAsia" w:ascii="宋体" w:hAnsi="宋体" w:cs="宋体"/>
          <w:color w:val="000000"/>
          <w:sz w:val="24"/>
          <w:szCs w:val="24"/>
        </w:rPr>
        <w:t>采购主体</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2.1本次磋商的采购人是</w:t>
      </w:r>
      <w:r>
        <w:rPr>
          <w:rFonts w:hint="eastAsia" w:ascii="宋体" w:hAnsi="宋体" w:cs="宋体"/>
          <w:b/>
          <w:color w:val="000000"/>
          <w:sz w:val="24"/>
          <w:u w:val="single"/>
        </w:rPr>
        <w:t>绵竹市中医医院</w:t>
      </w:r>
      <w:r>
        <w:rPr>
          <w:rFonts w:hint="eastAsia" w:ascii="宋体" w:hAnsi="宋体" w:cs="宋体"/>
          <w:color w:val="000000"/>
          <w:sz w:val="24"/>
        </w:rPr>
        <w:t>。</w:t>
      </w:r>
    </w:p>
    <w:p>
      <w:pPr>
        <w:pStyle w:val="6"/>
        <w:keepNext w:val="0"/>
        <w:keepLines w:val="0"/>
        <w:spacing w:before="0" w:after="0" w:line="360" w:lineRule="auto"/>
        <w:ind w:firstLine="482" w:firstLineChars="200"/>
        <w:rPr>
          <w:rFonts w:ascii="宋体" w:hAnsi="宋体" w:cs="宋体"/>
          <w:color w:val="000000"/>
          <w:sz w:val="24"/>
          <w:szCs w:val="24"/>
        </w:rPr>
      </w:pPr>
      <w:bookmarkStart w:id="21" w:name="_Toc217390843"/>
      <w:bookmarkStart w:id="22" w:name="_Toc183582207"/>
      <w:bookmarkStart w:id="23" w:name="_Toc183682344"/>
      <w:bookmarkStart w:id="24" w:name="_Toc217446036"/>
      <w:r>
        <w:rPr>
          <w:rFonts w:hint="eastAsia" w:ascii="宋体" w:hAnsi="宋体" w:cs="宋体"/>
          <w:color w:val="000000"/>
          <w:sz w:val="24"/>
          <w:szCs w:val="24"/>
        </w:rPr>
        <w:t>3.合格</w:t>
      </w:r>
      <w:bookmarkEnd w:id="21"/>
      <w:bookmarkEnd w:id="22"/>
      <w:bookmarkEnd w:id="23"/>
      <w:bookmarkEnd w:id="24"/>
      <w:r>
        <w:rPr>
          <w:rFonts w:hint="eastAsia" w:ascii="宋体" w:hAnsi="宋体" w:cs="宋体"/>
          <w:color w:val="000000"/>
          <w:sz w:val="24"/>
          <w:szCs w:val="24"/>
        </w:rPr>
        <w:t>供应商（实质性要求）</w:t>
      </w:r>
    </w:p>
    <w:p>
      <w:pPr>
        <w:tabs>
          <w:tab w:val="left" w:pos="7665"/>
        </w:tabs>
        <w:spacing w:line="360" w:lineRule="auto"/>
        <w:rPr>
          <w:rFonts w:ascii="宋体" w:hAnsi="宋体" w:cs="宋体"/>
          <w:color w:val="000000"/>
          <w:sz w:val="24"/>
        </w:rPr>
      </w:pPr>
      <w:r>
        <w:rPr>
          <w:rFonts w:hint="eastAsia" w:ascii="宋体" w:hAnsi="宋体" w:cs="宋体"/>
          <w:b/>
          <w:color w:val="000000"/>
          <w:sz w:val="24"/>
        </w:rPr>
        <w:t xml:space="preserve">    </w:t>
      </w:r>
      <w:r>
        <w:rPr>
          <w:rFonts w:hint="eastAsia" w:ascii="宋体" w:hAnsi="宋体" w:cs="宋体"/>
          <w:color w:val="000000"/>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tabs>
          <w:tab w:val="left" w:pos="7665"/>
        </w:tabs>
        <w:spacing w:line="360" w:lineRule="auto"/>
        <w:ind w:firstLine="464" w:firstLineChars="200"/>
        <w:rPr>
          <w:rFonts w:ascii="宋体" w:hAnsi="宋体" w:cs="宋体"/>
          <w:color w:val="000000"/>
          <w:sz w:val="24"/>
        </w:rPr>
      </w:pPr>
      <w:r>
        <w:rPr>
          <w:rFonts w:hint="eastAsia" w:ascii="宋体" w:hAnsi="宋体" w:cs="宋体"/>
          <w:spacing w:val="-4"/>
          <w:sz w:val="24"/>
        </w:rPr>
        <w:t>3.3 按照规定</w:t>
      </w:r>
      <w:r>
        <w:rPr>
          <w:rFonts w:hint="eastAsia" w:ascii="宋体" w:hAnsi="宋体" w:cs="宋体"/>
          <w:sz w:val="24"/>
        </w:rPr>
        <w:t>获取了磋商文件，属于实质性参加政府采购活动的供应商。</w:t>
      </w:r>
      <w:bookmarkStart w:id="25" w:name="_Toc183582208"/>
      <w:bookmarkStart w:id="26" w:name="_Toc217446037"/>
      <w:bookmarkStart w:id="27" w:name="_Toc183682345"/>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4.磋商费用</w:t>
      </w:r>
      <w:bookmarkEnd w:id="25"/>
      <w:bookmarkEnd w:id="26"/>
      <w:bookmarkEnd w:id="27"/>
    </w:p>
    <w:p>
      <w:pPr>
        <w:tabs>
          <w:tab w:val="left" w:pos="7665"/>
        </w:tabs>
        <w:spacing w:line="360" w:lineRule="auto"/>
        <w:ind w:firstLine="480"/>
        <w:rPr>
          <w:rFonts w:ascii="宋体" w:hAnsi="宋体" w:cs="宋体"/>
        </w:rPr>
      </w:pPr>
      <w:r>
        <w:rPr>
          <w:rFonts w:hint="eastAsia" w:ascii="宋体" w:hAnsi="宋体" w:cs="宋体"/>
          <w:color w:val="000000"/>
          <w:sz w:val="24"/>
        </w:rPr>
        <w:t>无论竞争性磋商采购的结果如何，供应商自行承担所有与参加竞争性磋商有关的全部费用。</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5.充分、公平竞争保障措施（实质性要求）</w:t>
      </w:r>
    </w:p>
    <w:p>
      <w:pPr>
        <w:pStyle w:val="60"/>
        <w:adjustRightInd/>
        <w:spacing w:line="360" w:lineRule="auto"/>
        <w:ind w:firstLine="480" w:firstLineChars="200"/>
        <w:rPr>
          <w:rFonts w:hAnsi="宋体" w:cs="宋体"/>
          <w:color w:val="FF0000"/>
          <w:sz w:val="28"/>
          <w:szCs w:val="28"/>
        </w:rPr>
      </w:pPr>
      <w:r>
        <w:rPr>
          <w:rFonts w:hint="eastAsia" w:hAnsi="宋体" w:cs="宋体"/>
          <w:color w:val="000000"/>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5.2利害关系授权代表处理。</w:t>
      </w:r>
      <w:r>
        <w:rPr>
          <w:rFonts w:hint="eastAsia" w:hAnsi="宋体" w:cs="宋体"/>
          <w:sz w:val="24"/>
        </w:rPr>
        <w:t>两</w:t>
      </w:r>
      <w:r>
        <w:rPr>
          <w:rFonts w:hint="eastAsia" w:hAnsi="宋体" w:cs="宋体"/>
          <w:color w:val="000000"/>
          <w:sz w:val="24"/>
        </w:rPr>
        <w:t>家以上的供应商不得在同一合同项下的采购项目中，委托同一个自然人、同一家庭的人员、同一单位的人员作为其授权代表，否则，其响应文件作为无效处理。</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5.5供应商与采购代理机构存在关联关系，或者是采购代理机构的母公司或子公司，不得参加本项目政府采购活动。</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5.6回避。政府采购活动中，采购人员及相关人员与供应商有下列利害关系之一的，应当回避：</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（1）参加采购活动前3年内与供应商存在劳动关系；</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（2）参加采购活动前3年内担任供应商的董事、监事；</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（3）参加采购活动前3年内是供应商的控股股东或者实际控制人；</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（4）与供应商的法定代表人（负责人）或者负责人有夫妻、直系血亲、三代以内旁系血亲或者近姻亲关系；</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（5）与供应商有其他可能影响政府采购活动公平、公正进行的关系。</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adjustRightInd/>
        <w:spacing w:line="360" w:lineRule="auto"/>
        <w:ind w:firstLine="480" w:firstLineChars="200"/>
        <w:rPr>
          <w:rFonts w:hAnsi="宋体" w:cs="宋体"/>
          <w:color w:val="000000"/>
          <w:sz w:val="24"/>
        </w:rPr>
      </w:pPr>
      <w:r>
        <w:rPr>
          <w:rFonts w:hint="eastAsia" w:hAnsi="宋体" w:cs="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6.联合体竞争性磋商（实质性要求）</w:t>
      </w:r>
    </w:p>
    <w:p>
      <w:pPr>
        <w:pStyle w:val="60"/>
        <w:adjustRightInd/>
        <w:spacing w:line="360" w:lineRule="auto"/>
        <w:ind w:firstLine="482" w:firstLineChars="200"/>
        <w:rPr>
          <w:rFonts w:hAnsi="宋体" w:cs="宋体"/>
          <w:b/>
          <w:bCs/>
          <w:sz w:val="24"/>
        </w:rPr>
      </w:pPr>
      <w:r>
        <w:rPr>
          <w:rFonts w:hint="eastAsia" w:hAnsi="宋体" w:cs="宋体"/>
          <w:b/>
          <w:bCs/>
          <w:sz w:val="24"/>
        </w:rPr>
        <w:t>本项目不接受联合体参与采购活动。</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7.磋商保证金（实质性要求）</w:t>
      </w:r>
    </w:p>
    <w:p>
      <w:pPr>
        <w:pStyle w:val="6"/>
        <w:keepNext w:val="0"/>
        <w:keepLines w:val="0"/>
        <w:spacing w:before="0" w:after="0" w:line="360" w:lineRule="auto"/>
        <w:ind w:firstLine="480" w:firstLineChars="200"/>
        <w:rPr>
          <w:b w:val="0"/>
          <w:bCs w:val="0"/>
          <w:sz w:val="24"/>
          <w:szCs w:val="24"/>
        </w:rPr>
      </w:pPr>
      <w:r>
        <w:rPr>
          <w:rFonts w:hint="eastAsia"/>
          <w:b w:val="0"/>
          <w:bCs w:val="0"/>
          <w:sz w:val="24"/>
          <w:szCs w:val="24"/>
        </w:rPr>
        <w:t>本项目不收取磋商保证金。</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8.响应文件有效期（实质性要求）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9.知识产权（实质性要求）</w:t>
      </w:r>
    </w:p>
    <w:p>
      <w:pPr>
        <w:pStyle w:val="1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9.1 </w:t>
      </w:r>
      <w:r>
        <w:rPr>
          <w:rFonts w:hint="eastAsia" w:ascii="宋体" w:hAnsi="宋体" w:cs="宋体"/>
          <w:color w:val="000000"/>
          <w:sz w:val="24"/>
        </w:rPr>
        <w:t>供应商</w:t>
      </w:r>
      <w:r>
        <w:rPr>
          <w:rFonts w:hint="eastAsia" w:ascii="宋体" w:hAnsi="宋体" w:cs="宋体"/>
          <w:color w:val="000000"/>
          <w:sz w:val="24"/>
          <w:szCs w:val="24"/>
        </w:rPr>
        <w:t>应保证在本项目</w:t>
      </w:r>
      <w:r>
        <w:rPr>
          <w:rFonts w:hint="eastAsia" w:ascii="宋体" w:hAnsi="宋体" w:cs="宋体"/>
          <w:sz w:val="24"/>
          <w:szCs w:val="24"/>
        </w:rPr>
        <w:t>中</w:t>
      </w:r>
      <w:r>
        <w:rPr>
          <w:rFonts w:hint="eastAsia" w:ascii="宋体" w:hAnsi="宋体" w:cs="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color w:val="000000"/>
          <w:sz w:val="24"/>
        </w:rPr>
        <w:t>供应商</w:t>
      </w:r>
      <w:r>
        <w:rPr>
          <w:rFonts w:hint="eastAsia" w:ascii="宋体" w:hAnsi="宋体" w:cs="宋体"/>
          <w:color w:val="000000"/>
          <w:sz w:val="24"/>
          <w:szCs w:val="24"/>
        </w:rPr>
        <w:t>承担所有相关责任。</w:t>
      </w:r>
    </w:p>
    <w:p>
      <w:pPr>
        <w:pStyle w:val="1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9.2 除非磋商文件特别</w:t>
      </w:r>
      <w:r>
        <w:rPr>
          <w:rFonts w:hint="eastAsia" w:ascii="宋体" w:hAnsi="宋体" w:cs="宋体"/>
          <w:sz w:val="24"/>
          <w:szCs w:val="24"/>
        </w:rPr>
        <w:t>规定</w:t>
      </w:r>
      <w:r>
        <w:rPr>
          <w:rFonts w:hint="eastAsia" w:ascii="宋体" w:hAnsi="宋体" w:cs="宋体"/>
          <w:color w:val="000000"/>
          <w:sz w:val="24"/>
          <w:szCs w:val="24"/>
        </w:rPr>
        <w:t>，采购人享有本项目实施过程中产生的知识成果及知识产权。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color w:val="000000"/>
          <w:sz w:val="24"/>
        </w:rPr>
        <w:t>9.3</w:t>
      </w:r>
      <w:r>
        <w:rPr>
          <w:rFonts w:hint="eastAsia" w:ascii="宋体" w:hAnsi="宋体" w:cs="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color w:val="000000"/>
          <w:sz w:val="24"/>
        </w:rPr>
      </w:pPr>
      <w:r>
        <w:rPr>
          <w:rFonts w:hint="eastAsia" w:ascii="宋体" w:hAnsi="宋体" w:cs="宋体"/>
          <w:color w:val="000000"/>
          <w:sz w:val="24"/>
        </w:rPr>
        <w:t xml:space="preserve">9.4 如采用供应商所不拥有的知识产权，则在报价中必须包括合法获取该知识产权的相关费用。 </w:t>
      </w:r>
    </w:p>
    <w:p>
      <w:pPr>
        <w:pStyle w:val="5"/>
        <w:keepNext w:val="0"/>
        <w:keepLines w:val="0"/>
        <w:spacing w:before="0" w:after="0" w:line="360" w:lineRule="auto"/>
        <w:jc w:val="center"/>
        <w:rPr>
          <w:rFonts w:ascii="宋体" w:hAnsi="宋体" w:eastAsia="宋体" w:cs="宋体"/>
          <w:color w:val="000000"/>
          <w:sz w:val="24"/>
        </w:rPr>
      </w:pPr>
      <w:bookmarkStart w:id="28" w:name="_Toc89075875"/>
      <w:bookmarkStart w:id="29" w:name="_Toc183582209"/>
      <w:bookmarkStart w:id="30" w:name="_Toc217446038"/>
      <w:bookmarkStart w:id="31" w:name="_Toc77400779"/>
      <w:bookmarkStart w:id="32" w:name="_Toc183682346"/>
      <w:r>
        <w:rPr>
          <w:rFonts w:hint="eastAsia" w:ascii="宋体" w:hAnsi="宋体" w:eastAsia="宋体" w:cs="宋体"/>
          <w:bCs w:val="0"/>
          <w:color w:val="000000"/>
        </w:rPr>
        <w:t>三、磋商文件</w:t>
      </w:r>
      <w:bookmarkEnd w:id="28"/>
      <w:bookmarkEnd w:id="29"/>
      <w:bookmarkEnd w:id="30"/>
      <w:bookmarkEnd w:id="31"/>
      <w:bookmarkEnd w:id="32"/>
      <w:bookmarkStart w:id="33" w:name="_Toc217446039"/>
      <w:bookmarkStart w:id="34" w:name="_Toc183582210"/>
      <w:bookmarkStart w:id="35" w:name="_Toc183682347"/>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10．磋商文件的构成</w:t>
      </w:r>
      <w:bookmarkEnd w:id="33"/>
      <w:bookmarkEnd w:id="34"/>
      <w:bookmarkEnd w:id="35"/>
      <w:r>
        <w:rPr>
          <w:rFonts w:hint="eastAsia" w:ascii="宋体" w:hAnsi="宋体" w:cs="宋体"/>
          <w:color w:val="000000"/>
          <w:sz w:val="24"/>
          <w:szCs w:val="24"/>
        </w:rPr>
        <w:t>（实质性要求）</w:t>
      </w:r>
    </w:p>
    <w:p>
      <w:pPr>
        <w:tabs>
          <w:tab w:val="left" w:pos="720"/>
        </w:tabs>
        <w:spacing w:line="360" w:lineRule="auto"/>
        <w:ind w:firstLine="480" w:firstLineChars="200"/>
        <w:rPr>
          <w:rFonts w:ascii="宋体" w:hAnsi="宋体" w:cs="宋体"/>
          <w:color w:val="FF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10</w:t>
      </w:r>
      <w:r>
        <w:rPr>
          <w:rFonts w:hint="eastAsia" w:ascii="宋体" w:hAnsi="宋体" w:cs="宋体"/>
          <w:b/>
          <w:bCs/>
          <w:color w:val="000000"/>
          <w:sz w:val="24"/>
        </w:rPr>
        <w:t>.</w:t>
      </w:r>
      <w:r>
        <w:rPr>
          <w:rFonts w:hint="eastAsia" w:ascii="宋体" w:hAnsi="宋体" w:cs="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36" w:name="_Toc183582211"/>
      <w:bookmarkStart w:id="37" w:name="_Toc183682348"/>
      <w:bookmarkStart w:id="38" w:name="_Toc217446040"/>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11. 磋商文件的澄清</w:t>
      </w:r>
      <w:bookmarkEnd w:id="36"/>
      <w:bookmarkEnd w:id="37"/>
      <w:r>
        <w:rPr>
          <w:rFonts w:hint="eastAsia" w:ascii="宋体" w:hAnsi="宋体" w:cs="宋体"/>
          <w:color w:val="000000"/>
          <w:sz w:val="24"/>
          <w:szCs w:val="24"/>
        </w:rPr>
        <w:t>和修改</w:t>
      </w:r>
      <w:bookmarkEnd w:id="38"/>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11.1在递交响应文件截止时间前，竞争性磋商采购单位无论出于何种原因，可以对竞争性磋商文件进行澄清或者修改。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color w:val="000000"/>
          <w:sz w:val="24"/>
        </w:rPr>
        <w:t>11.2竞争性磋商采购单位对已发出的磋商文件进行澄清或者修改，将在磋商文件要求的提交响应文件截止时间5日前进行</w:t>
      </w:r>
      <w:r>
        <w:rPr>
          <w:rFonts w:hint="eastAsia" w:ascii="宋体" w:hAnsi="宋体" w:cs="宋体"/>
          <w:sz w:val="24"/>
        </w:rPr>
        <w:t>。</w:t>
      </w:r>
      <w:r>
        <w:rPr>
          <w:rFonts w:hint="eastAsia"/>
          <w:sz w:val="24"/>
        </w:rPr>
        <w:t>供应商应当重新获取磋商文件。供应商未重新获取磋商文件或者未按照澄清或者修改后的磋商文件编制响应文件进行响应的，自行承担不利后果</w:t>
      </w:r>
      <w:r>
        <w:rPr>
          <w:rFonts w:hint="eastAsia" w:ascii="宋体" w:hAnsi="宋体" w:cs="宋体"/>
          <w:sz w:val="24"/>
        </w:rPr>
        <w:t>；不足5日的，应当顺延提交响应文件的截止时间。</w:t>
      </w:r>
    </w:p>
    <w:p>
      <w:pPr>
        <w:tabs>
          <w:tab w:val="left" w:pos="720"/>
        </w:tabs>
        <w:spacing w:line="360" w:lineRule="auto"/>
        <w:ind w:firstLine="480" w:firstLineChars="200"/>
        <w:rPr>
          <w:rFonts w:ascii="宋体" w:hAnsi="宋体" w:cs="宋体"/>
          <w:color w:val="000000"/>
          <w:sz w:val="24"/>
        </w:rPr>
      </w:pPr>
      <w:r>
        <w:rPr>
          <w:rFonts w:hint="eastAsia" w:ascii="宋体" w:hAnsi="宋体" w:cs="宋体"/>
          <w:color w:val="000000"/>
          <w:sz w:val="24"/>
        </w:rPr>
        <w:t>11.3在提交响应文件截止时间前，采购单位可以视采购具体情况，延长提交响应文件截止时间和开启时间。</w:t>
      </w:r>
    </w:p>
    <w:p>
      <w:pPr>
        <w:pStyle w:val="6"/>
        <w:keepNext w:val="0"/>
        <w:keepLines w:val="0"/>
        <w:spacing w:before="0" w:after="0" w:line="360" w:lineRule="auto"/>
        <w:ind w:firstLine="482" w:firstLineChars="200"/>
        <w:rPr>
          <w:rFonts w:ascii="宋体" w:hAnsi="宋体" w:cs="宋体"/>
          <w:color w:val="000000"/>
          <w:sz w:val="24"/>
          <w:szCs w:val="24"/>
        </w:rPr>
      </w:pPr>
      <w:bookmarkStart w:id="39" w:name="_Toc217446041"/>
      <w:bookmarkStart w:id="40" w:name="_Toc208848971"/>
      <w:r>
        <w:rPr>
          <w:rFonts w:hint="eastAsia" w:ascii="宋体" w:hAnsi="宋体" w:cs="宋体"/>
          <w:color w:val="000000"/>
          <w:sz w:val="24"/>
          <w:szCs w:val="24"/>
        </w:rPr>
        <w:t>12. 答疑会和现场考察</w:t>
      </w:r>
      <w:bookmarkEnd w:id="39"/>
      <w:bookmarkEnd w:id="40"/>
    </w:p>
    <w:p>
      <w:pPr>
        <w:spacing w:line="360" w:lineRule="auto"/>
        <w:ind w:firstLine="480" w:firstLineChars="200"/>
        <w:rPr>
          <w:rFonts w:ascii="宋体" w:hAnsi="宋体" w:cs="宋体"/>
          <w:color w:val="000000"/>
          <w:sz w:val="24"/>
        </w:rPr>
      </w:pPr>
      <w:r>
        <w:rPr>
          <w:rFonts w:hint="eastAsia" w:ascii="宋体" w:hAnsi="宋体" w:cs="宋体"/>
          <w:color w:val="000000"/>
          <w:sz w:val="24"/>
        </w:rPr>
        <w:t>12.1 根据采购项目和具体情况，采购人认为有必要，可以在磋商文件提供期限截止后响应文件提交截止前，组织已获取磋商文件的潜在供应商现场考察或者召开答疑会。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color w:val="000000"/>
          <w:sz w:val="24"/>
        </w:rPr>
        <w:t>12.2采购人组织现场考察或者召开答疑会的，将在医院官网发布相关公告。</w:t>
      </w:r>
      <w:r>
        <w:rPr>
          <w:rFonts w:hint="eastAsia" w:ascii="宋体" w:hAnsi="宋体" w:cs="宋体"/>
          <w:sz w:val="24"/>
        </w:rPr>
        <w:t>供应商未按照要求参加现场考察或者答疑会的，视同放弃参加现场考察或者答疑的权利，采购人不再对该供应商重新组织，但也不会以此限制供应商提交响应文件或者以此将供应商响应文件直接作为无效处理。</w:t>
      </w:r>
    </w:p>
    <w:p>
      <w:pPr>
        <w:spacing w:line="360" w:lineRule="auto"/>
        <w:ind w:firstLine="420" w:firstLineChars="175"/>
        <w:rPr>
          <w:rFonts w:ascii="宋体" w:hAnsi="宋体" w:cs="宋体"/>
          <w:color w:val="000000"/>
          <w:sz w:val="24"/>
        </w:rPr>
      </w:pPr>
      <w:r>
        <w:rPr>
          <w:rFonts w:hint="eastAsia" w:ascii="宋体" w:hAnsi="宋体" w:cs="宋体"/>
          <w:color w:val="000000"/>
          <w:sz w:val="24"/>
        </w:rPr>
        <w:t>12.3 供应商考察现场或者参加答疑会所发生的一切费用由供应商自己承担。</w:t>
      </w:r>
      <w:bookmarkStart w:id="41" w:name="_Toc217446042"/>
      <w:bookmarkStart w:id="42" w:name="_Toc89075876"/>
      <w:bookmarkStart w:id="43" w:name="_Toc77400780"/>
      <w:bookmarkStart w:id="44" w:name="_Toc183682351"/>
      <w:bookmarkStart w:id="45" w:name="_Toc183582214"/>
    </w:p>
    <w:p>
      <w:pPr>
        <w:spacing w:line="360" w:lineRule="auto"/>
        <w:ind w:firstLine="420" w:firstLineChars="175"/>
        <w:rPr>
          <w:rFonts w:ascii="宋体" w:hAnsi="宋体" w:cs="宋体"/>
          <w:sz w:val="24"/>
        </w:rPr>
      </w:pPr>
      <w:r>
        <w:rPr>
          <w:rFonts w:hint="eastAsia" w:ascii="宋体" w:hAnsi="宋体" w:cs="宋体"/>
          <w:color w:val="000000"/>
          <w:sz w:val="24"/>
        </w:rPr>
        <w:t>12.4本项目不组织</w:t>
      </w:r>
      <w:r>
        <w:rPr>
          <w:rFonts w:hint="eastAsia" w:ascii="宋体" w:hAnsi="宋体" w:cs="宋体"/>
          <w:sz w:val="24"/>
        </w:rPr>
        <w:t>现场考察/标前答疑会。</w:t>
      </w:r>
    </w:p>
    <w:p>
      <w:pPr>
        <w:pStyle w:val="5"/>
        <w:keepNext w:val="0"/>
        <w:keepLines w:val="0"/>
        <w:spacing w:before="0" w:after="0" w:line="360" w:lineRule="auto"/>
        <w:jc w:val="center"/>
        <w:rPr>
          <w:rFonts w:ascii="宋体" w:hAnsi="宋体" w:eastAsia="宋体" w:cs="宋体"/>
        </w:rPr>
      </w:pPr>
      <w:r>
        <w:rPr>
          <w:rFonts w:hint="eastAsia" w:ascii="宋体" w:hAnsi="宋体" w:eastAsia="宋体" w:cs="宋体"/>
          <w:bCs w:val="0"/>
          <w:color w:val="000000"/>
        </w:rPr>
        <w:t>四、响应文件</w:t>
      </w:r>
      <w:bookmarkEnd w:id="41"/>
      <w:bookmarkEnd w:id="42"/>
      <w:bookmarkEnd w:id="43"/>
      <w:bookmarkEnd w:id="44"/>
      <w:bookmarkEnd w:id="45"/>
    </w:p>
    <w:p>
      <w:pPr>
        <w:pStyle w:val="6"/>
        <w:keepNext w:val="0"/>
        <w:keepLines w:val="0"/>
        <w:spacing w:before="0" w:after="0" w:line="360" w:lineRule="auto"/>
        <w:ind w:firstLine="482" w:firstLineChars="200"/>
        <w:rPr>
          <w:rFonts w:ascii="宋体" w:hAnsi="宋体" w:cs="宋体"/>
          <w:color w:val="000000"/>
          <w:sz w:val="24"/>
          <w:szCs w:val="24"/>
        </w:rPr>
      </w:pPr>
      <w:bookmarkStart w:id="46" w:name="_Toc183582215"/>
      <w:bookmarkStart w:id="47" w:name="_Toc183682352"/>
      <w:bookmarkStart w:id="48" w:name="_Toc217446043"/>
      <w:r>
        <w:rPr>
          <w:rFonts w:hint="eastAsia" w:ascii="宋体" w:hAnsi="宋体" w:cs="宋体"/>
          <w:color w:val="000000"/>
          <w:sz w:val="24"/>
          <w:szCs w:val="24"/>
        </w:rPr>
        <w:t>13.响应文件的组成（实质性要求）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供应商编写的响应文件应当包含但不限于以下内容：</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13.1资格性响应文件应当包含但不限于以下内容：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（1）磋商文件第四章要求提供的供应商资格证明材料；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（2）参与竞争性磋商声明（格式见磋商文件第六章）；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（3）承诺函（格式见磋商文件第六章）；</w:t>
      </w:r>
    </w:p>
    <w:p>
      <w:pPr>
        <w:spacing w:line="360" w:lineRule="auto"/>
        <w:ind w:firstLine="480" w:firstLineChars="200"/>
        <w:rPr>
          <w:rFonts w:ascii="宋体" w:hAnsi="宋体" w:cs="宋体"/>
          <w:color w:val="000000"/>
          <w:sz w:val="24"/>
        </w:rPr>
      </w:pPr>
      <w:r>
        <w:rPr>
          <w:rFonts w:hint="eastAsia" w:ascii="宋体" w:hAnsi="宋体" w:cs="宋体"/>
          <w:color w:val="000000"/>
          <w:sz w:val="24"/>
        </w:rPr>
        <w:t>（4）供应商认为应提供的其它资料。</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13.2其他响应文件应当包含但不限于以下内容：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（1）报价函、报价表；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（2）服务应答表；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（3）商务应答表；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（4）供应商认为需要提供的文件和资料。</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14.响应文件的语言</w:t>
      </w:r>
      <w:bookmarkEnd w:id="46"/>
      <w:bookmarkEnd w:id="47"/>
      <w:bookmarkEnd w:id="48"/>
      <w:r>
        <w:rPr>
          <w:rFonts w:hint="eastAsia" w:ascii="宋体" w:hAnsi="宋体" w:cs="宋体"/>
          <w:color w:val="000000"/>
          <w:sz w:val="24"/>
          <w:szCs w:val="24"/>
        </w:rPr>
        <w:t>（实质性要求）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14.1 供应商提交的响应文件以及供应商与采购人、采购代理机构就有关报价的所有来往书面文件均须使用中文。</w:t>
      </w:r>
      <w:r>
        <w:rPr>
          <w:rFonts w:hint="eastAsia" w:ascii="宋体" w:hAnsi="宋体" w:cs="宋体"/>
          <w:b/>
          <w:color w:val="000000"/>
          <w:sz w:val="24"/>
        </w:rPr>
        <w:t>响应文件中如附有外文资料，必须逐一对应翻译成中文并加盖供应商公章后附在相关外文资料后面，否则，该外文资料将可能被视为无效材料。（说明：供应商的法定代表人（负责人）为外籍人士的，法定代表人（负责人）的签字和护照除外。）</w:t>
      </w:r>
    </w:p>
    <w:p>
      <w:pPr>
        <w:spacing w:line="360" w:lineRule="auto"/>
        <w:ind w:firstLine="480" w:firstLineChars="200"/>
        <w:rPr>
          <w:rFonts w:ascii="宋体" w:hAnsi="宋体" w:cs="宋体"/>
          <w:color w:val="000000"/>
          <w:sz w:val="24"/>
        </w:rPr>
      </w:pPr>
      <w:r>
        <w:rPr>
          <w:rFonts w:hint="eastAsia" w:ascii="宋体" w:hAnsi="宋体" w:cs="宋体"/>
          <w:color w:val="000000"/>
          <w:sz w:val="24"/>
        </w:rPr>
        <w:t>14.2 翻译的中文资料与外文资料如果出现差异和矛盾，以中文为准。但不能故意错误翻译，否则，供应商的响应文件将作为无效处理。</w:t>
      </w:r>
      <w:bookmarkStart w:id="49" w:name="_Toc183582216"/>
      <w:bookmarkStart w:id="50" w:name="_Toc183682353"/>
      <w:bookmarkStart w:id="51" w:name="_Toc217446044"/>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15．计量单位</w:t>
      </w:r>
      <w:bookmarkEnd w:id="49"/>
      <w:bookmarkEnd w:id="50"/>
      <w:bookmarkEnd w:id="51"/>
      <w:r>
        <w:rPr>
          <w:rFonts w:hint="eastAsia" w:ascii="宋体" w:hAnsi="宋体" w:cs="宋体"/>
          <w:color w:val="000000"/>
          <w:sz w:val="24"/>
          <w:szCs w:val="24"/>
        </w:rPr>
        <w:t>（实质性要求）</w:t>
      </w:r>
    </w:p>
    <w:p>
      <w:pPr>
        <w:spacing w:line="360" w:lineRule="auto"/>
        <w:ind w:firstLine="470" w:firstLineChars="196"/>
        <w:rPr>
          <w:rFonts w:ascii="宋体" w:hAnsi="宋体" w:cs="宋体"/>
          <w:b/>
          <w:bCs/>
          <w:color w:val="000000"/>
          <w:sz w:val="24"/>
        </w:rPr>
      </w:pPr>
      <w:r>
        <w:rPr>
          <w:rFonts w:hint="eastAsia" w:ascii="宋体" w:hAnsi="宋体" w:cs="宋体"/>
          <w:color w:val="000000"/>
          <w:sz w:val="24"/>
        </w:rPr>
        <w:t>除磋商文件中另有规定外，本次采购项目所有合同项下的报价均采用国家法定的计量单位。</w:t>
      </w:r>
      <w:bookmarkStart w:id="52" w:name="_Toc217446045"/>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16. 报价货币（实质性要求）</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本次磋商项目的</w:t>
      </w:r>
      <w:r>
        <w:rPr>
          <w:rFonts w:hint="eastAsia" w:ascii="宋体" w:hAnsi="宋体" w:cs="宋体"/>
          <w:color w:val="000000"/>
          <w:sz w:val="24"/>
        </w:rPr>
        <w:t>报价货币为</w:t>
      </w:r>
      <w:r>
        <w:rPr>
          <w:rFonts w:hint="eastAsia" w:ascii="宋体" w:hAnsi="宋体" w:cs="宋体"/>
          <w:bCs/>
          <w:color w:val="000000"/>
          <w:sz w:val="24"/>
        </w:rPr>
        <w:t>人民币，报价以磋商文件规定为准。</w:t>
      </w:r>
    </w:p>
    <w:bookmarkEnd w:id="52"/>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17.响应文件格式</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17.1 供应商应执行磋商文</w:t>
      </w:r>
      <w:r>
        <w:rPr>
          <w:rFonts w:hint="eastAsia" w:ascii="宋体" w:hAnsi="宋体" w:cs="宋体"/>
          <w:bCs/>
          <w:sz w:val="24"/>
        </w:rPr>
        <w:t>件第六章的</w:t>
      </w:r>
      <w:r>
        <w:rPr>
          <w:rFonts w:hint="eastAsia" w:ascii="宋体" w:hAnsi="宋体" w:cs="宋体"/>
          <w:bCs/>
          <w:color w:val="000000"/>
          <w:sz w:val="24"/>
        </w:rPr>
        <w:t>规定要求。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17.2 对于没有格式要求的部分由供应商自行编写。</w:t>
      </w:r>
      <w:bookmarkStart w:id="53" w:name="_Toc217446051"/>
      <w:bookmarkStart w:id="54" w:name="_Toc183682361"/>
      <w:bookmarkStart w:id="55" w:name="_Toc183582224"/>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18.响应文件的编制和签署</w:t>
      </w:r>
    </w:p>
    <w:p>
      <w:pPr>
        <w:spacing w:line="360" w:lineRule="auto"/>
        <w:ind w:firstLine="468" w:firstLineChars="195"/>
        <w:rPr>
          <w:rFonts w:ascii="宋体" w:hAnsi="宋体" w:cs="宋体"/>
          <w:bCs/>
          <w:color w:val="000000"/>
          <w:sz w:val="24"/>
        </w:rPr>
      </w:pPr>
      <w:r>
        <w:rPr>
          <w:rFonts w:hint="eastAsia" w:ascii="宋体" w:hAnsi="宋体" w:cs="宋体"/>
          <w:color w:val="000000"/>
          <w:sz w:val="24"/>
        </w:rPr>
        <w:t>18.1 资格性响应文件正本1份副本2份</w:t>
      </w:r>
      <w:r>
        <w:rPr>
          <w:rFonts w:hint="eastAsia" w:ascii="宋体" w:hAnsi="宋体" w:cs="宋体"/>
          <w:b/>
          <w:color w:val="000000"/>
          <w:sz w:val="24"/>
        </w:rPr>
        <w:t>（实质性要求）</w:t>
      </w:r>
      <w:r>
        <w:rPr>
          <w:rFonts w:hint="eastAsia" w:ascii="宋体" w:hAnsi="宋体" w:cs="宋体"/>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 xml:space="preserve">18.2 </w:t>
      </w:r>
      <w:r>
        <w:rPr>
          <w:rFonts w:hint="eastAsia" w:ascii="宋体" w:hAnsi="宋体" w:cs="宋体"/>
          <w:sz w:val="24"/>
        </w:rPr>
        <w:t>其他</w:t>
      </w:r>
      <w:r>
        <w:rPr>
          <w:rFonts w:hint="eastAsia" w:ascii="宋体" w:hAnsi="宋体" w:cs="宋体"/>
          <w:bCs/>
          <w:color w:val="000000"/>
          <w:sz w:val="24"/>
        </w:rPr>
        <w:t>响应文件正本1份副本2份</w:t>
      </w:r>
      <w:r>
        <w:rPr>
          <w:rFonts w:hint="eastAsia" w:ascii="宋体" w:hAnsi="宋体" w:cs="宋体"/>
          <w:b/>
          <w:color w:val="000000"/>
          <w:sz w:val="24"/>
        </w:rPr>
        <w:t>（实质性要求）</w:t>
      </w:r>
      <w:r>
        <w:rPr>
          <w:rFonts w:hint="eastAsia" w:ascii="宋体" w:hAnsi="宋体" w:cs="宋体"/>
          <w:bCs/>
          <w:color w:val="000000"/>
          <w:sz w:val="24"/>
        </w:rPr>
        <w:t>，并在其封面上清楚地标明</w:t>
      </w:r>
      <w:r>
        <w:rPr>
          <w:rFonts w:hint="eastAsia" w:ascii="宋体" w:hAnsi="宋体" w:cs="宋体"/>
          <w:sz w:val="24"/>
        </w:rPr>
        <w:t>其他</w:t>
      </w:r>
      <w:r>
        <w:rPr>
          <w:rFonts w:hint="eastAsia" w:ascii="宋体" w:hAnsi="宋体" w:cs="宋体"/>
          <w:bCs/>
          <w:color w:val="000000"/>
          <w:sz w:val="24"/>
        </w:rPr>
        <w:t>响应文件、采购项目名称、采购项目编号、包件号及名称（若有）、供应商名称以及“正本”或“副本”字样。若正本和副本有不一致的内容，以正本书面响应文件为准。</w:t>
      </w:r>
    </w:p>
    <w:bookmarkEnd w:id="53"/>
    <w:bookmarkEnd w:id="54"/>
    <w:bookmarkEnd w:id="55"/>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18.3 响应文件正本和副本均需在规定签章处签字和盖章。响应文件副本可采用正本的复印件。</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18.4响应文件的打印和书写应清楚工整，任何行间插字、涂改或增删，必须由供应商的法定代表人（负责人）或其授权代表签字并盖供应商公章。</w:t>
      </w:r>
      <w:r>
        <w:rPr>
          <w:rFonts w:hint="eastAsia" w:ascii="宋体" w:hAnsi="宋体" w:cs="宋体"/>
          <w:sz w:val="24"/>
        </w:rPr>
        <w:t>字迹潦草、表达不清或可能导致非唯一理解的材料可能被视为无效材料。</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18.5</w:t>
      </w:r>
      <w:r>
        <w:rPr>
          <w:rFonts w:hint="eastAsia" w:ascii="宋体" w:hAnsi="宋体" w:cs="宋体"/>
          <w:b/>
          <w:bCs/>
          <w:color w:val="000000"/>
          <w:sz w:val="24"/>
        </w:rPr>
        <w:t>（实质性要求）</w:t>
      </w:r>
      <w:r>
        <w:rPr>
          <w:rFonts w:hint="eastAsia" w:ascii="宋体" w:hAnsi="宋体" w:cs="宋体"/>
          <w:bCs/>
          <w:color w:val="000000"/>
          <w:sz w:val="24"/>
        </w:rPr>
        <w:t>响应文件应由供应商法定代表人（负责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color w:val="000000"/>
          <w:sz w:val="24"/>
        </w:rPr>
      </w:pPr>
      <w:r>
        <w:rPr>
          <w:rFonts w:hint="eastAsia" w:ascii="宋体" w:hAnsi="宋体" w:cs="宋体"/>
          <w:bCs/>
          <w:color w:val="000000"/>
          <w:sz w:val="24"/>
        </w:rPr>
        <w:t>18.6响应文件正本和副本需要逐页编目编码。</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18.7响应文件正本和副本应当采用胶装方式装订成册，不得散装或者活页装订。</w:t>
      </w:r>
    </w:p>
    <w:p>
      <w:pPr>
        <w:tabs>
          <w:tab w:val="left" w:pos="1080"/>
        </w:tabs>
        <w:spacing w:line="360" w:lineRule="auto"/>
        <w:ind w:firstLine="460" w:firstLineChars="192"/>
        <w:rPr>
          <w:rFonts w:ascii="宋体" w:hAnsi="宋体" w:cs="宋体"/>
          <w:sz w:val="24"/>
        </w:rPr>
      </w:pPr>
      <w:r>
        <w:rPr>
          <w:rFonts w:hint="eastAsia" w:ascii="宋体" w:hAnsi="宋体" w:cs="宋体"/>
          <w:color w:val="000000"/>
          <w:sz w:val="24"/>
        </w:rPr>
        <w:t>18.8</w:t>
      </w:r>
      <w:r>
        <w:rPr>
          <w:rFonts w:hint="eastAsia" w:ascii="宋体" w:hAnsi="宋体" w:cs="宋体"/>
          <w:b/>
          <w:color w:val="000000"/>
          <w:sz w:val="24"/>
        </w:rPr>
        <w:t>（实质性要求）</w:t>
      </w:r>
      <w:r>
        <w:rPr>
          <w:rFonts w:hint="eastAsia" w:ascii="宋体" w:hAnsi="宋体" w:cs="宋体"/>
          <w:color w:val="000000"/>
          <w:sz w:val="24"/>
        </w:rPr>
        <w:t>响应文件应根据磋商文件的要求制作，签署</w:t>
      </w:r>
      <w:r>
        <w:rPr>
          <w:rFonts w:hint="eastAsia" w:ascii="宋体" w:hAnsi="宋体" w:cs="宋体"/>
          <w:sz w:val="24"/>
        </w:rPr>
        <w:t>、盖章。（按照《四川省政府采购评审工作规程（修订）》规范）</w:t>
      </w:r>
    </w:p>
    <w:p>
      <w:pPr>
        <w:tabs>
          <w:tab w:val="left" w:pos="1080"/>
        </w:tabs>
        <w:spacing w:line="360" w:lineRule="auto"/>
        <w:ind w:firstLine="460" w:firstLineChars="192"/>
        <w:rPr>
          <w:rFonts w:ascii="宋体" w:hAnsi="宋体" w:cs="宋体"/>
          <w:b/>
          <w:color w:val="000000"/>
          <w:sz w:val="24"/>
        </w:rPr>
      </w:pPr>
      <w:r>
        <w:rPr>
          <w:rFonts w:hint="eastAsia" w:ascii="宋体" w:hAnsi="宋体" w:cs="宋体"/>
          <w:color w:val="000000"/>
          <w:sz w:val="24"/>
        </w:rPr>
        <w:t>18.9响应文件统一用A4幅面纸印制，除另有规定外。</w:t>
      </w:r>
      <w:bookmarkStart w:id="56" w:name="_Toc183582226"/>
      <w:bookmarkStart w:id="57" w:name="_Toc183682363"/>
      <w:bookmarkStart w:id="58" w:name="_Toc89075877"/>
      <w:bookmarkStart w:id="59" w:name="_Toc77400781"/>
      <w:bookmarkStart w:id="60" w:name="_Toc217446053"/>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19.响应文件的密封和标注（不属于本项目磋商小组评审范畴，由采购人、采购代理机构在接收响应文件时及时处理）</w:t>
      </w:r>
    </w:p>
    <w:p>
      <w:pPr>
        <w:tabs>
          <w:tab w:val="left" w:pos="1080"/>
        </w:tabs>
        <w:spacing w:line="360" w:lineRule="auto"/>
        <w:ind w:firstLine="460" w:firstLineChars="192"/>
        <w:rPr>
          <w:rFonts w:ascii="宋体" w:hAnsi="宋体" w:cs="宋体"/>
          <w:color w:val="000000"/>
          <w:sz w:val="24"/>
        </w:rPr>
      </w:pPr>
      <w:r>
        <w:rPr>
          <w:rFonts w:hint="eastAsia" w:ascii="宋体" w:hAnsi="宋体" w:cs="宋体"/>
          <w:sz w:val="24"/>
        </w:rPr>
        <w:t>19.1 响应文件可以单独密封包装，也可</w:t>
      </w:r>
      <w:r>
        <w:rPr>
          <w:rFonts w:hint="eastAsia" w:ascii="宋体" w:hAnsi="宋体" w:cs="宋体"/>
          <w:color w:val="000000"/>
          <w:sz w:val="24"/>
        </w:rPr>
        <w:t>以所有响应文件密封包装在一个密封袋内。</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 xml:space="preserve"> 19.3 所有外层密封袋的封口处应粘贴牢固</w:t>
      </w:r>
      <w:r>
        <w:rPr>
          <w:rFonts w:hint="eastAsia" w:ascii="宋体" w:hAnsi="宋体" w:cs="宋体"/>
          <w:sz w:val="24"/>
        </w:rPr>
        <w:t>，并加盖密封章（单位公章）</w:t>
      </w:r>
      <w:r>
        <w:rPr>
          <w:rFonts w:hint="eastAsia" w:ascii="宋体" w:hAnsi="宋体" w:cs="宋体"/>
          <w:color w:val="000000"/>
          <w:sz w:val="24"/>
        </w:rPr>
        <w:t>。</w:t>
      </w:r>
    </w:p>
    <w:p>
      <w:pPr>
        <w:tabs>
          <w:tab w:val="left" w:pos="1080"/>
        </w:tabs>
        <w:spacing w:line="360" w:lineRule="auto"/>
        <w:ind w:firstLine="482" w:firstLineChars="200"/>
        <w:rPr>
          <w:rFonts w:ascii="宋体" w:hAnsi="宋体" w:cs="宋体"/>
          <w:color w:val="000000"/>
          <w:sz w:val="24"/>
        </w:rPr>
      </w:pPr>
      <w:r>
        <w:rPr>
          <w:rFonts w:hint="eastAsia" w:ascii="宋体" w:hAnsi="宋体" w:cs="宋体"/>
          <w:b/>
          <w:bCs/>
          <w:color w:val="000000"/>
          <w:sz w:val="24"/>
        </w:rPr>
        <w:t>19.4 未按以上要求进行密封和标注的响应文件，采购人、采购代理机构将拒收或者在时间允许的范围内（递交响应文件截止时间前），要求修改完善后接收。</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20.响应文件的递交</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20.1响应文件应于递交响应文件截止时间前送达指定地点，采购代理机构拒绝接收截止时间后送达的响应文件。</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20.2 采购代理机构将向通过资格审查的供应商发出磋商邀请；告知未通过资格审查的供应商未通过的原因。</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20.3 最后报价表在磋商后，磋商小组要求供应商进行最后报价时递交。</w:t>
      </w:r>
    </w:p>
    <w:p>
      <w:pPr>
        <w:tabs>
          <w:tab w:val="left" w:pos="1080"/>
        </w:tabs>
        <w:spacing w:line="360" w:lineRule="auto"/>
        <w:ind w:firstLine="460" w:firstLineChars="192"/>
        <w:rPr>
          <w:rFonts w:ascii="宋体" w:hAnsi="宋体" w:cs="宋体"/>
          <w:color w:val="000000"/>
          <w:sz w:val="24"/>
        </w:rPr>
      </w:pPr>
      <w:r>
        <w:rPr>
          <w:rFonts w:hint="eastAsia" w:ascii="宋体" w:hAnsi="宋体" w:cs="宋体"/>
          <w:color w:val="000000"/>
          <w:sz w:val="24"/>
        </w:rPr>
        <w:t>20.4 本次采购不接收邮寄的响应文件。</w:t>
      </w:r>
    </w:p>
    <w:bookmarkEnd w:id="56"/>
    <w:bookmarkEnd w:id="57"/>
    <w:bookmarkEnd w:id="58"/>
    <w:bookmarkEnd w:id="59"/>
    <w:bookmarkEnd w:id="60"/>
    <w:p>
      <w:pPr>
        <w:pStyle w:val="6"/>
        <w:keepNext w:val="0"/>
        <w:keepLines w:val="0"/>
        <w:spacing w:before="0" w:after="0" w:line="360" w:lineRule="auto"/>
        <w:ind w:firstLine="482" w:firstLineChars="200"/>
        <w:rPr>
          <w:rFonts w:ascii="宋体" w:hAnsi="宋体" w:cs="宋体"/>
          <w:color w:val="000000"/>
          <w:sz w:val="24"/>
          <w:szCs w:val="24"/>
        </w:rPr>
      </w:pPr>
      <w:bookmarkStart w:id="61" w:name="_Toc217446055"/>
      <w:bookmarkStart w:id="62" w:name="_Toc183582228"/>
      <w:bookmarkStart w:id="63" w:name="_Toc183682365"/>
      <w:r>
        <w:rPr>
          <w:rFonts w:hint="eastAsia" w:ascii="宋体" w:hAnsi="宋体" w:cs="宋体"/>
          <w:color w:val="000000"/>
          <w:sz w:val="24"/>
          <w:szCs w:val="24"/>
        </w:rPr>
        <w:t>21.响应文件的修改和撤回（补充、修改响应文件的密封和标注按照本章“19.响应文件的密封和标注”规定处理）</w:t>
      </w:r>
    </w:p>
    <w:p>
      <w:pPr>
        <w:pStyle w:val="9"/>
        <w:spacing w:line="360" w:lineRule="auto"/>
        <w:ind w:firstLine="480"/>
        <w:rPr>
          <w:rFonts w:ascii="宋体" w:hAnsi="宋体" w:cs="宋体"/>
          <w:color w:val="000000"/>
          <w:sz w:val="24"/>
        </w:rPr>
      </w:pPr>
      <w:r>
        <w:rPr>
          <w:rFonts w:hint="eastAsia" w:ascii="宋体" w:hAnsi="宋体" w:cs="宋体"/>
          <w:color w:val="000000"/>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供应商代表需提供授权书等资料证明自己身份）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rFonts w:ascii="宋体" w:hAnsi="宋体" w:cs="宋体"/>
          <w:color w:val="000000"/>
          <w:sz w:val="24"/>
        </w:rPr>
      </w:pPr>
      <w:r>
        <w:rPr>
          <w:rFonts w:hint="eastAsia" w:ascii="宋体" w:hAnsi="宋体" w:cs="宋体"/>
          <w:color w:val="000000"/>
          <w:sz w:val="24"/>
        </w:rPr>
        <w:t>21.2供应商对响应文件修改的书面材料或撤回的通知应该按规定进行编写、密封、标注和递送，并注明“修改响应文件”字样。</w:t>
      </w:r>
    </w:p>
    <w:p>
      <w:pPr>
        <w:spacing w:line="360" w:lineRule="auto"/>
        <w:ind w:firstLine="480" w:firstLineChars="200"/>
        <w:rPr>
          <w:rFonts w:ascii="宋体" w:hAnsi="宋体" w:cs="宋体"/>
          <w:color w:val="000000"/>
          <w:sz w:val="24"/>
        </w:rPr>
      </w:pPr>
      <w:r>
        <w:rPr>
          <w:rFonts w:hint="eastAsia" w:ascii="宋体" w:hAnsi="宋体" w:cs="宋体"/>
          <w:color w:val="000000"/>
          <w:sz w:val="24"/>
        </w:rPr>
        <w:t>21.3供应商不得在递交截止时间起至响应文件有效期期满前撤销其响应文件。</w:t>
      </w:r>
    </w:p>
    <w:p>
      <w:pPr>
        <w:spacing w:line="360" w:lineRule="auto"/>
        <w:ind w:firstLine="480" w:firstLineChars="200"/>
        <w:rPr>
          <w:rFonts w:ascii="宋体" w:hAnsi="宋体" w:cs="宋体"/>
        </w:rPr>
      </w:pPr>
      <w:r>
        <w:rPr>
          <w:rFonts w:hint="eastAsia" w:ascii="宋体" w:hAnsi="宋体" w:cs="宋体"/>
          <w:sz w:val="24"/>
        </w:rPr>
        <w:t>21.4 供应商不足3家的，在递交响应文件截止时间之后，已递交的响应文件由采购代理机构留存备档。</w:t>
      </w:r>
    </w:p>
    <w:p>
      <w:pPr>
        <w:spacing w:line="360" w:lineRule="auto"/>
        <w:ind w:firstLine="480"/>
        <w:rPr>
          <w:rFonts w:ascii="宋体" w:hAnsi="宋体" w:cs="宋体"/>
          <w:sz w:val="24"/>
        </w:rPr>
      </w:pPr>
      <w:r>
        <w:rPr>
          <w:rFonts w:hint="eastAsia" w:ascii="宋体" w:hAnsi="宋体" w:cs="宋体"/>
          <w:sz w:val="24"/>
        </w:rPr>
        <w:t>21.5 响应文件中报价如果出现下列不一致的，可按以下原则进行修改：</w:t>
      </w:r>
    </w:p>
    <w:p>
      <w:pPr>
        <w:spacing w:line="360" w:lineRule="auto"/>
        <w:ind w:firstLine="480"/>
        <w:rPr>
          <w:rFonts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360" w:lineRule="auto"/>
        <w:ind w:firstLine="480"/>
        <w:rPr>
          <w:rFonts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pPr>
        <w:spacing w:line="360" w:lineRule="auto"/>
        <w:ind w:firstLine="480"/>
        <w:rPr>
          <w:rFonts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rPr>
          <w:rFonts w:ascii="宋体" w:hAnsi="宋体" w:cs="宋体"/>
          <w:color w:val="000000"/>
          <w:sz w:val="24"/>
        </w:rPr>
      </w:pPr>
      <w:r>
        <w:rPr>
          <w:rFonts w:hint="eastAsia" w:ascii="宋体" w:hAnsi="宋体" w:cs="宋体"/>
          <w:color w:val="000000"/>
          <w:sz w:val="24"/>
        </w:rPr>
        <w:t>21.6供应商对其提交的响应文件的真实性、合法性承担法律责任。</w:t>
      </w:r>
      <w:bookmarkEnd w:id="61"/>
      <w:bookmarkEnd w:id="62"/>
      <w:bookmarkEnd w:id="63"/>
    </w:p>
    <w:p>
      <w:pPr>
        <w:pStyle w:val="5"/>
        <w:keepNext w:val="0"/>
        <w:keepLines w:val="0"/>
        <w:spacing w:before="0" w:after="0" w:line="360" w:lineRule="auto"/>
        <w:jc w:val="center"/>
        <w:rPr>
          <w:rFonts w:ascii="宋体" w:hAnsi="宋体" w:eastAsia="宋体" w:cs="宋体"/>
        </w:rPr>
      </w:pPr>
      <w:bookmarkStart w:id="64" w:name="_Toc183582231"/>
      <w:bookmarkStart w:id="65" w:name="_Toc89075878"/>
      <w:bookmarkStart w:id="66" w:name="_Toc183682368"/>
      <w:bookmarkStart w:id="67" w:name="_Toc217446056"/>
      <w:bookmarkStart w:id="68" w:name="_Toc77400782"/>
      <w:r>
        <w:rPr>
          <w:rFonts w:hint="eastAsia" w:ascii="宋体" w:hAnsi="宋体" w:eastAsia="宋体" w:cs="宋体"/>
          <w:color w:val="000000"/>
        </w:rPr>
        <w:t>五、评审</w:t>
      </w:r>
    </w:p>
    <w:p>
      <w:pPr>
        <w:pStyle w:val="6"/>
        <w:keepNext w:val="0"/>
        <w:keepLines w:val="0"/>
        <w:spacing w:before="0" w:after="0" w:line="360" w:lineRule="auto"/>
        <w:ind w:firstLine="482" w:firstLineChars="200"/>
        <w:rPr>
          <w:rFonts w:ascii="宋体" w:hAnsi="宋体" w:cs="宋体"/>
          <w:b w:val="0"/>
          <w:bCs w:val="0"/>
          <w:color w:val="000000"/>
          <w:sz w:val="24"/>
          <w:szCs w:val="24"/>
        </w:rPr>
      </w:pPr>
      <w:r>
        <w:rPr>
          <w:rFonts w:hint="eastAsia" w:ascii="宋体" w:hAnsi="宋体" w:cs="宋体"/>
          <w:color w:val="000000"/>
          <w:sz w:val="24"/>
          <w:szCs w:val="24"/>
        </w:rPr>
        <w:t>22.</w:t>
      </w:r>
      <w:r>
        <w:rPr>
          <w:rFonts w:hint="eastAsia" w:ascii="宋体" w:hAnsi="宋体" w:cs="宋体"/>
          <w:b w:val="0"/>
          <w:bCs w:val="0"/>
          <w:color w:val="000000"/>
          <w:sz w:val="24"/>
          <w:szCs w:val="24"/>
        </w:rPr>
        <w:t>磋商小组的组建及其评审工作按照有关法律制度和本文件第七章的规定进行。</w:t>
      </w:r>
    </w:p>
    <w:p>
      <w:pPr>
        <w:pStyle w:val="5"/>
        <w:keepNext w:val="0"/>
        <w:keepLines w:val="0"/>
        <w:spacing w:before="0" w:after="0" w:line="360" w:lineRule="auto"/>
        <w:jc w:val="center"/>
        <w:rPr>
          <w:rFonts w:ascii="宋体" w:hAnsi="宋体" w:eastAsia="宋体" w:cs="宋体"/>
          <w:color w:val="000000"/>
        </w:rPr>
      </w:pPr>
      <w:r>
        <w:rPr>
          <w:rFonts w:hint="eastAsia" w:ascii="宋体" w:hAnsi="宋体" w:eastAsia="宋体" w:cs="宋体"/>
          <w:color w:val="000000"/>
        </w:rPr>
        <w:t>六、成交事项</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23.确定成交供应商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采购人将按磋商小组推荐的成交候选供应商顺序确定成交供应商。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23.1采购代理机构自评审结束后2个工作日内将磋商报告及有关资料送交采购人确定成交供应商。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23.3采购人确定成交供应商过程中，发现成交候选供应商有下列情形之一的，应当不予确定其为成交供应商：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（1）发现成交候选供应商存在禁止参加本项目采购活动的违法行为的；</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（2）成交候选供应商因不可抗力，不能继续参加政府采购活动；</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（3）成交候选供应商无偿赠与或者低于成本价竞争；</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（4）成交候选供应商提供虚假材料；</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（5）成交候选供应商恶意串通。</w:t>
      </w:r>
    </w:p>
    <w:p>
      <w:pPr>
        <w:spacing w:line="360" w:lineRule="auto"/>
        <w:ind w:firstLine="480" w:firstLineChars="200"/>
        <w:rPr>
          <w:rFonts w:ascii="宋体" w:hAnsi="宋体" w:cs="宋体"/>
        </w:rPr>
      </w:pPr>
      <w:r>
        <w:rPr>
          <w:rFonts w:hint="eastAsia" w:ascii="宋体" w:hAnsi="宋体" w:cs="宋体"/>
          <w:bCs/>
          <w:color w:val="000000"/>
          <w:sz w:val="24"/>
        </w:rPr>
        <w:t>成交候选供应商有本条情形之一的，采购人可以确定后一位成交候选供应商为成交供应商，依次类推。无法确定成交供应商的，应当重新组织采购。</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24.成交结果</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24.2成交供应商应当及时领取成交通知书。</w:t>
      </w:r>
    </w:p>
    <w:p>
      <w:pPr>
        <w:spacing w:line="360" w:lineRule="auto"/>
        <w:ind w:firstLine="465"/>
        <w:rPr>
          <w:rFonts w:ascii="宋体" w:hAnsi="宋体" w:cs="宋体"/>
          <w:bCs/>
          <w:color w:val="000000"/>
          <w:sz w:val="24"/>
        </w:rPr>
      </w:pPr>
      <w:r>
        <w:rPr>
          <w:rFonts w:hint="eastAsia" w:ascii="宋体" w:hAnsi="宋体" w:cs="宋体"/>
          <w:bCs/>
          <w:color w:val="000000"/>
          <w:sz w:val="24"/>
        </w:rPr>
        <w:t>24.3成交供应商不能及时领取成交通知书，采购人或者采购代理机构应当通过邮寄、快递等方式将项目成交通知书送达成交供应商。</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25.成交通知书</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25.1成交通知书为签订采购合同的依据之一，是合同的有效组成部分。</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25.2成交通知书对采购人和成交供应商均具有法律效力。成交通知书发出后，采购人无正当理由改变成交结果，或者成交供应商无正当理由放弃成交的，将承担相应的法律责任。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25.3成交供应商的响应文件作为无效响应文件处理或者有政府采购法律法规规章制度规定的成交无效情形的，采购人或采购代理机构在取得有权主体的认定以后，</w:t>
      </w:r>
      <w:r>
        <w:rPr>
          <w:rFonts w:hint="eastAsia" w:ascii="宋体" w:hAnsi="宋体" w:cs="宋体"/>
          <w:bCs/>
          <w:sz w:val="24"/>
        </w:rPr>
        <w:t>有权</w:t>
      </w:r>
      <w:r>
        <w:rPr>
          <w:rFonts w:hint="eastAsia" w:ascii="宋体" w:hAnsi="宋体" w:cs="宋体"/>
          <w:bCs/>
          <w:color w:val="000000"/>
          <w:sz w:val="24"/>
        </w:rPr>
        <w:t>宣布发出的成交通知书无效，并收回发出的成交通知书，依法重新确定成交供应商或者重新开展采购活动。</w:t>
      </w:r>
    </w:p>
    <w:p>
      <w:pPr>
        <w:tabs>
          <w:tab w:val="left" w:pos="7665"/>
        </w:tabs>
        <w:spacing w:line="360" w:lineRule="auto"/>
        <w:ind w:firstLine="480"/>
        <w:rPr>
          <w:rFonts w:ascii="宋体" w:hAnsi="宋体" w:cs="宋体"/>
          <w:color w:val="000000"/>
          <w:sz w:val="24"/>
          <w:highlight w:val="yellow"/>
        </w:rPr>
      </w:pPr>
      <w:r>
        <w:rPr>
          <w:rFonts w:hint="eastAsia" w:ascii="宋体" w:hAnsi="宋体" w:cs="宋体"/>
          <w:bCs/>
          <w:sz w:val="24"/>
        </w:rPr>
        <w:t>25.4成交公告发出后，成交人自行领取成交通知书的，可凭有效身份证明证件到采购人处</w:t>
      </w:r>
      <w:r>
        <w:rPr>
          <w:rFonts w:hint="eastAsia" w:ascii="宋体" w:hAnsi="宋体" w:cs="宋体"/>
          <w:sz w:val="24"/>
        </w:rPr>
        <w:t>领取成交通知书。</w:t>
      </w:r>
      <w:r>
        <w:rPr>
          <w:rFonts w:hint="eastAsia" w:ascii="宋体" w:hAnsi="宋体" w:cs="宋体"/>
          <w:color w:val="000000"/>
          <w:sz w:val="24"/>
        </w:rPr>
        <w:t>（详见供应商须知附表）。</w:t>
      </w:r>
    </w:p>
    <w:p>
      <w:pPr>
        <w:pStyle w:val="5"/>
        <w:keepNext w:val="0"/>
        <w:keepLines w:val="0"/>
        <w:spacing w:before="0" w:after="0" w:line="360" w:lineRule="auto"/>
        <w:jc w:val="center"/>
        <w:rPr>
          <w:rFonts w:ascii="宋体" w:hAnsi="宋体" w:eastAsia="宋体" w:cs="宋体"/>
          <w:color w:val="000000"/>
          <w:sz w:val="24"/>
          <w:szCs w:val="24"/>
        </w:rPr>
      </w:pPr>
      <w:r>
        <w:rPr>
          <w:rFonts w:hint="eastAsia" w:ascii="宋体" w:hAnsi="宋体" w:eastAsia="宋体" w:cs="宋体"/>
          <w:color w:val="000000"/>
        </w:rPr>
        <w:t>七、合同事项</w:t>
      </w:r>
    </w:p>
    <w:p>
      <w:pPr>
        <w:pStyle w:val="6"/>
        <w:keepNext w:val="0"/>
        <w:keepLines w:val="0"/>
        <w:spacing w:before="0" w:after="0" w:line="360" w:lineRule="auto"/>
        <w:ind w:firstLine="482" w:firstLineChars="200"/>
        <w:rPr>
          <w:rFonts w:ascii="宋体" w:hAnsi="宋体" w:cs="宋体"/>
          <w:color w:val="000000"/>
          <w:sz w:val="24"/>
          <w:szCs w:val="24"/>
        </w:rPr>
      </w:pPr>
      <w:bookmarkStart w:id="69" w:name="_Toc101338364"/>
      <w:bookmarkStart w:id="70" w:name="_Toc209847069"/>
      <w:bookmarkStart w:id="71" w:name="_Toc430773927"/>
      <w:bookmarkStart w:id="72" w:name="_Toc101250646"/>
      <w:bookmarkStart w:id="73" w:name="_Toc101174151"/>
      <w:r>
        <w:rPr>
          <w:rFonts w:hint="eastAsia" w:ascii="宋体" w:hAnsi="宋体" w:cs="宋体"/>
          <w:color w:val="000000"/>
          <w:sz w:val="24"/>
          <w:szCs w:val="24"/>
        </w:rPr>
        <w:t>26.签订合同</w:t>
      </w:r>
      <w:bookmarkEnd w:id="69"/>
      <w:bookmarkEnd w:id="70"/>
      <w:bookmarkEnd w:id="71"/>
      <w:bookmarkEnd w:id="72"/>
      <w:bookmarkEnd w:id="73"/>
    </w:p>
    <w:p>
      <w:pPr>
        <w:spacing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26.1 成交供应商应在成交通知书发出之日起十日内与采购人签订采购合同和绵竹市中医医院医院廉政（洁）合同（附件一）。由</w:t>
      </w:r>
      <w:r>
        <w:rPr>
          <w:rFonts w:hint="eastAsia" w:ascii="宋体" w:hAnsi="宋体" w:cs="宋体"/>
          <w:color w:val="000000"/>
          <w:sz w:val="24"/>
        </w:rPr>
        <w:t>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26.2 磋商文件、成交供应商的响应文件及双方确认的澄清文件等，均为有法律约束力的合同组成部分。</w:t>
      </w:r>
    </w:p>
    <w:p>
      <w:pPr>
        <w:spacing w:line="360" w:lineRule="auto"/>
        <w:ind w:firstLine="480" w:firstLineChars="200"/>
        <w:rPr>
          <w:rFonts w:ascii="宋体" w:hAnsi="宋体" w:cs="宋体"/>
          <w:color w:val="000000"/>
          <w:sz w:val="24"/>
        </w:rPr>
      </w:pPr>
      <w:r>
        <w:rPr>
          <w:rFonts w:hint="eastAsia" w:ascii="宋体" w:hAnsi="宋体" w:cs="宋体"/>
          <w:color w:val="000000"/>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color w:val="000000"/>
          <w:sz w:val="24"/>
        </w:rPr>
      </w:pPr>
      <w:r>
        <w:rPr>
          <w:rFonts w:hint="eastAsia" w:ascii="宋体" w:hAnsi="宋体" w:cs="宋体"/>
          <w:color w:val="000000"/>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color w:val="000000"/>
          <w:sz w:val="24"/>
        </w:rPr>
      </w:pPr>
      <w:r>
        <w:rPr>
          <w:rFonts w:hint="eastAsia" w:ascii="宋体" w:hAnsi="宋体" w:cs="宋体"/>
          <w:color w:val="000000"/>
          <w:sz w:val="24"/>
        </w:rPr>
        <w:t>26.5竞争性磋商文件、成交供应商提交的响应文件、磋商中的最后报价、成交供应商承诺书、成交通知书等均称为有法律约束力的合同组成内容。</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27.合同分包（实质性要求）</w:t>
      </w:r>
    </w:p>
    <w:p>
      <w:pPr>
        <w:spacing w:line="360" w:lineRule="auto"/>
        <w:ind w:firstLine="480" w:firstLineChars="200"/>
        <w:rPr>
          <w:rFonts w:ascii="宋体" w:hAnsi="宋体" w:cs="宋体"/>
          <w:color w:val="000000"/>
          <w:sz w:val="24"/>
          <w:highlight w:val="yellow"/>
        </w:rPr>
      </w:pPr>
      <w:r>
        <w:rPr>
          <w:rFonts w:hint="eastAsia" w:ascii="宋体" w:hAnsi="宋体" w:cs="宋体"/>
          <w:color w:val="000000"/>
          <w:sz w:val="24"/>
        </w:rPr>
        <w:t>本项目不允许合同分包。</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28.合同转包（实质性要求）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成交供应商转包的，视同拒绝履行采购合同义务，将依法追究法律责任。</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29.补充合同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30.履约保证金（实质性要求）</w:t>
      </w:r>
    </w:p>
    <w:p>
      <w:pPr>
        <w:spacing w:line="360" w:lineRule="auto"/>
        <w:ind w:firstLine="480" w:firstLineChars="200"/>
        <w:rPr>
          <w:rFonts w:ascii="宋体" w:hAnsi="宋体" w:cs="宋体"/>
          <w:sz w:val="24"/>
        </w:rPr>
      </w:pPr>
      <w:r>
        <w:rPr>
          <w:rFonts w:hint="eastAsia" w:ascii="宋体" w:hAnsi="宋体" w:cs="宋体"/>
          <w:sz w:val="24"/>
        </w:rPr>
        <w:t>本项目不收取履约保证金。</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1</w:t>
      </w:r>
      <w:r>
        <w:rPr>
          <w:rFonts w:hint="eastAsia" w:ascii="宋体" w:hAnsi="宋体" w:cs="宋体"/>
          <w:color w:val="000000"/>
          <w:sz w:val="24"/>
          <w:szCs w:val="24"/>
        </w:rPr>
        <w:t>.履行合同</w:t>
      </w:r>
    </w:p>
    <w:p>
      <w:pPr>
        <w:spacing w:line="360" w:lineRule="auto"/>
        <w:ind w:firstLine="480" w:firstLineChars="200"/>
        <w:rPr>
          <w:rFonts w:ascii="宋体" w:hAnsi="宋体" w:cs="宋体"/>
          <w:sz w:val="24"/>
        </w:rPr>
      </w:pPr>
      <w:r>
        <w:rPr>
          <w:rFonts w:hint="eastAsia" w:ascii="宋体" w:hAnsi="宋体" w:cs="宋体"/>
          <w:color w:val="000000"/>
          <w:sz w:val="24"/>
        </w:rPr>
        <w:t>3</w:t>
      </w:r>
      <w:r>
        <w:rPr>
          <w:rFonts w:ascii="宋体" w:hAnsi="宋体" w:cs="宋体"/>
          <w:color w:val="000000"/>
          <w:sz w:val="24"/>
        </w:rPr>
        <w:t>1</w:t>
      </w:r>
      <w:r>
        <w:rPr>
          <w:rFonts w:hint="eastAsia" w:ascii="宋体" w:hAnsi="宋体" w:cs="宋体"/>
          <w:color w:val="000000"/>
          <w:sz w:val="24"/>
        </w:rPr>
        <w:t>.1 成交供应商与采购人签订合同后，合同双方应严格执行合同条款，履行合同规定的义务，</w:t>
      </w:r>
      <w:r>
        <w:rPr>
          <w:rFonts w:hint="eastAsia" w:ascii="宋体" w:hAnsi="宋体" w:cs="宋体"/>
          <w:sz w:val="24"/>
        </w:rPr>
        <w:t>保证合同的顺利完成。</w:t>
      </w:r>
    </w:p>
    <w:p>
      <w:pPr>
        <w:spacing w:line="360" w:lineRule="auto"/>
        <w:ind w:firstLine="480" w:firstLineChars="200"/>
        <w:rPr>
          <w:rFonts w:ascii="宋体" w:hAnsi="宋体" w:cs="宋体"/>
          <w:color w:val="000000"/>
          <w:sz w:val="24"/>
        </w:rPr>
      </w:pPr>
      <w:r>
        <w:rPr>
          <w:rFonts w:hint="eastAsia" w:ascii="宋体" w:hAnsi="宋体" w:cs="宋体"/>
          <w:sz w:val="24"/>
        </w:rPr>
        <w:t>33.2 在合同履行过程中，如发生合同纠纷，合同双方应按照</w:t>
      </w:r>
      <w:r>
        <w:rPr>
          <w:rFonts w:hint="eastAsia" w:ascii="宋体" w:hAnsi="宋体" w:cs="宋体"/>
          <w:sz w:val="24"/>
          <w:lang w:bidi="ar"/>
        </w:rPr>
        <w:t>《</w:t>
      </w:r>
      <w:r>
        <w:rPr>
          <w:rFonts w:hint="eastAsia" w:ascii="宋体" w:hAnsi="宋体" w:cs="宋体"/>
          <w:sz w:val="24"/>
        </w:rPr>
        <w:t>中华人民共和国民法典</w:t>
      </w:r>
      <w:r>
        <w:rPr>
          <w:rFonts w:hint="eastAsia" w:ascii="宋体" w:hAnsi="宋体" w:cs="宋体"/>
          <w:sz w:val="24"/>
          <w:lang w:bidi="ar"/>
        </w:rPr>
        <w:t>》</w:t>
      </w:r>
      <w:r>
        <w:rPr>
          <w:rFonts w:hint="eastAsia" w:ascii="宋体" w:hAnsi="宋体" w:cs="宋体"/>
          <w:sz w:val="24"/>
        </w:rPr>
        <w:t>的有关</w:t>
      </w:r>
      <w:r>
        <w:rPr>
          <w:rFonts w:hint="eastAsia" w:ascii="宋体" w:hAnsi="宋体" w:cs="宋体"/>
          <w:color w:val="000000"/>
          <w:sz w:val="24"/>
        </w:rPr>
        <w:t>规定进行处理。</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34.验收（实质性要求）</w:t>
      </w:r>
    </w:p>
    <w:p>
      <w:pPr>
        <w:spacing w:line="360" w:lineRule="auto"/>
        <w:ind w:firstLine="480" w:firstLineChars="200"/>
        <w:rPr>
          <w:rFonts w:ascii="宋体" w:hAnsi="宋体" w:cs="宋体"/>
          <w:sz w:val="24"/>
          <w:highlight w:val="green"/>
        </w:rPr>
      </w:pPr>
      <w:r>
        <w:rPr>
          <w:rFonts w:hint="eastAsia" w:ascii="宋体" w:hAnsi="宋体" w:cs="宋体"/>
          <w:color w:val="000000"/>
          <w:sz w:val="24"/>
        </w:rPr>
        <w:t>详见第五章“履约验收标准”。</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35.资金支付</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采购人将按照采购合同规定，及时向成交供应商支付采购资金。 </w:t>
      </w:r>
    </w:p>
    <w:p>
      <w:pPr>
        <w:pStyle w:val="5"/>
        <w:keepNext w:val="0"/>
        <w:keepLines w:val="0"/>
        <w:spacing w:before="0" w:after="0" w:line="360" w:lineRule="auto"/>
        <w:jc w:val="center"/>
        <w:rPr>
          <w:rFonts w:ascii="宋体" w:hAnsi="宋体" w:eastAsia="宋体" w:cs="宋体"/>
          <w:color w:val="000000"/>
        </w:rPr>
      </w:pPr>
      <w:r>
        <w:rPr>
          <w:rFonts w:hint="eastAsia" w:ascii="宋体" w:hAnsi="宋体" w:eastAsia="宋体" w:cs="宋体"/>
          <w:color w:val="000000"/>
        </w:rPr>
        <w:t>八、磋商纪律要求</w:t>
      </w:r>
    </w:p>
    <w:p>
      <w:pPr>
        <w:pStyle w:val="6"/>
        <w:keepNext w:val="0"/>
        <w:keepLines w:val="0"/>
        <w:spacing w:before="0" w:after="0" w:line="360" w:lineRule="auto"/>
        <w:ind w:firstLine="482" w:firstLineChars="200"/>
        <w:rPr>
          <w:rFonts w:ascii="宋体" w:hAnsi="宋体" w:cs="宋体"/>
          <w:color w:val="000000"/>
          <w:sz w:val="24"/>
          <w:szCs w:val="24"/>
        </w:rPr>
      </w:pPr>
      <w:r>
        <w:rPr>
          <w:rFonts w:hint="eastAsia" w:ascii="宋体" w:hAnsi="宋体" w:cs="宋体"/>
          <w:color w:val="000000"/>
          <w:sz w:val="24"/>
          <w:szCs w:val="24"/>
        </w:rPr>
        <w:t>36.供应商不得具有的情形</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供应商参加本项目磋商不得有下列情形：</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（1）提供虚假材料谋取成交；</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（2）采取不正当手段诋毁、排挤其他供应商；</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（3）与采购人或其他供应商恶意串通；</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（4）向采购人、磋商小组成员行贿或者提供其他不正当利益；</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（5）在磋商过程中与采购人进行协商；</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（6）成交后无正当理由拒不与采购人签订采购合同；</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（7）未按照磋商文件确定的事项签订采购合同；</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（8）将采购合同转包或者违规分包；</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（9）提供假冒伪劣产品；</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（10）擅自变更、中止或者终止采购合同；</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（11）拒绝有关部门的监督检查或者向监督检查部门提供虚假情况；</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（12）法律法规规定的其他情形。</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供应商有上述情形的，按照规定追究法律责任，具备（1）-（10）条情形之一的，同时将取消被确认为成交供应商的资格或者认定成交、报价无效。</w:t>
      </w:r>
    </w:p>
    <w:p>
      <w:pPr>
        <w:tabs>
          <w:tab w:val="left" w:pos="851"/>
        </w:tabs>
        <w:spacing w:line="360" w:lineRule="auto"/>
        <w:jc w:val="center"/>
        <w:rPr>
          <w:rFonts w:ascii="宋体" w:hAnsi="宋体" w:cs="宋体"/>
          <w:b/>
          <w:color w:val="000000"/>
          <w:sz w:val="32"/>
          <w:szCs w:val="32"/>
        </w:rPr>
      </w:pPr>
      <w:r>
        <w:rPr>
          <w:rFonts w:hint="eastAsia" w:ascii="宋体" w:hAnsi="宋体" w:cs="宋体"/>
          <w:b/>
          <w:color w:val="000000"/>
          <w:sz w:val="32"/>
          <w:szCs w:val="32"/>
        </w:rPr>
        <w:t>九、询问、质疑和投诉</w:t>
      </w:r>
    </w:p>
    <w:p>
      <w:pPr>
        <w:pStyle w:val="6"/>
        <w:spacing w:before="0" w:after="0" w:line="360" w:lineRule="auto"/>
        <w:ind w:firstLine="482" w:firstLineChars="200"/>
        <w:rPr>
          <w:rFonts w:ascii="宋体" w:hAnsi="宋体" w:cs="宋体"/>
          <w:sz w:val="24"/>
        </w:rPr>
      </w:pPr>
      <w:r>
        <w:rPr>
          <w:rFonts w:hint="eastAsia" w:ascii="宋体" w:hAnsi="宋体" w:cs="宋体"/>
          <w:color w:val="000000"/>
          <w:sz w:val="24"/>
          <w:szCs w:val="24"/>
        </w:rPr>
        <w:t>37.</w:t>
      </w:r>
      <w:r>
        <w:rPr>
          <w:rFonts w:hint="eastAsia" w:ascii="宋体" w:hAnsi="宋体" w:cs="宋体"/>
          <w:b w:val="0"/>
          <w:sz w:val="24"/>
        </w:rPr>
        <w:t>询问、质疑、投诉的接收和处理严格按照《中华人民共和国政府采购法》《中华人民共和国政府采购法实施条例》《政府采购质疑和投诉办法》等规定办理。</w:t>
      </w:r>
    </w:p>
    <w:p>
      <w:pPr>
        <w:tabs>
          <w:tab w:val="left" w:pos="851"/>
        </w:tabs>
        <w:spacing w:line="360" w:lineRule="auto"/>
        <w:jc w:val="center"/>
        <w:rPr>
          <w:rFonts w:ascii="宋体" w:hAnsi="宋体" w:cs="宋体"/>
          <w:b/>
          <w:color w:val="000000"/>
          <w:sz w:val="32"/>
          <w:szCs w:val="32"/>
        </w:rPr>
      </w:pPr>
      <w:r>
        <w:rPr>
          <w:rFonts w:hint="eastAsia" w:ascii="宋体" w:hAnsi="宋体" w:cs="宋体"/>
          <w:b/>
          <w:color w:val="000000"/>
          <w:sz w:val="32"/>
          <w:szCs w:val="32"/>
        </w:rPr>
        <w:t>十、其  他</w:t>
      </w:r>
    </w:p>
    <w:p>
      <w:pPr>
        <w:tabs>
          <w:tab w:val="left" w:pos="851"/>
        </w:tabs>
        <w:spacing w:line="360" w:lineRule="auto"/>
        <w:ind w:firstLine="482" w:firstLineChars="200"/>
        <w:jc w:val="left"/>
        <w:outlineLvl w:val="2"/>
        <w:rPr>
          <w:rFonts w:ascii="宋体" w:hAnsi="宋体" w:cs="宋体"/>
          <w:color w:val="000000"/>
          <w:sz w:val="24"/>
        </w:rPr>
      </w:pPr>
      <w:r>
        <w:rPr>
          <w:rFonts w:hint="eastAsia" w:ascii="宋体" w:hAnsi="宋体" w:cs="宋体"/>
          <w:b/>
          <w:bCs/>
          <w:color w:val="000000"/>
          <w:sz w:val="24"/>
        </w:rPr>
        <w:t>38.</w:t>
      </w:r>
      <w:r>
        <w:rPr>
          <w:rFonts w:hint="eastAsia" w:ascii="宋体" w:hAnsi="宋体" w:cs="宋体"/>
          <w:color w:val="000000"/>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2" w:firstLineChars="200"/>
        <w:jc w:val="left"/>
        <w:outlineLvl w:val="2"/>
        <w:rPr>
          <w:rFonts w:ascii="宋体" w:hAnsi="宋体" w:cs="宋体"/>
          <w:color w:val="000000"/>
          <w:kern w:val="0"/>
          <w:sz w:val="24"/>
        </w:rPr>
      </w:pPr>
      <w:r>
        <w:rPr>
          <w:rFonts w:hint="eastAsia" w:ascii="宋体" w:hAnsi="宋体" w:cs="宋体"/>
          <w:b/>
          <w:bCs/>
          <w:color w:val="000000"/>
          <w:sz w:val="24"/>
        </w:rPr>
        <w:t>39.（实质性要求）</w:t>
      </w:r>
      <w:r>
        <w:rPr>
          <w:rFonts w:hint="eastAsia" w:ascii="宋体" w:hAnsi="宋体" w:cs="宋体"/>
          <w:color w:val="000000"/>
          <w:sz w:val="24"/>
        </w:rPr>
        <w:t>国家或行业主管部门对供应商资格资质条件等有强制性规定的，必须符合其要求。</w:t>
      </w:r>
    </w:p>
    <w:p>
      <w:pPr>
        <w:spacing w:line="360" w:lineRule="auto"/>
        <w:ind w:firstLine="482" w:firstLineChars="200"/>
        <w:jc w:val="left"/>
        <w:outlineLvl w:val="2"/>
        <w:rPr>
          <w:rFonts w:ascii="宋体" w:hAnsi="宋体" w:cs="宋体"/>
          <w:b/>
          <w:bCs/>
          <w:color w:val="000000"/>
          <w:sz w:val="24"/>
        </w:rPr>
      </w:pPr>
      <w:r>
        <w:rPr>
          <w:rFonts w:hint="eastAsia" w:ascii="宋体" w:hAnsi="宋体" w:cs="宋体"/>
          <w:b/>
          <w:bCs/>
          <w:color w:val="000000"/>
          <w:sz w:val="24"/>
        </w:rPr>
        <w:t>40.本磋商文件中加注（实质性要求）的条款，若未明确要求提供证明材料或承诺函，视为仅约束成交人，由成交人和采购人签订合同前进行核实。</w:t>
      </w:r>
      <w:bookmarkStart w:id="74" w:name="_Toc517447490"/>
    </w:p>
    <w:p>
      <w:pPr>
        <w:pStyle w:val="4"/>
        <w:keepNext w:val="0"/>
        <w:keepLines w:val="0"/>
        <w:spacing w:before="0" w:after="0" w:line="360" w:lineRule="auto"/>
        <w:ind w:firstLine="723" w:firstLineChars="200"/>
        <w:jc w:val="center"/>
        <w:rPr>
          <w:rFonts w:ascii="宋体" w:hAnsi="宋体" w:cs="宋体"/>
          <w:sz w:val="36"/>
          <w:szCs w:val="36"/>
        </w:rPr>
      </w:pPr>
      <w:r>
        <w:rPr>
          <w:rFonts w:hint="eastAsia" w:ascii="宋体" w:hAnsi="宋体" w:cs="宋体"/>
          <w:color w:val="000000"/>
          <w:sz w:val="36"/>
          <w:szCs w:val="32"/>
        </w:rPr>
        <w:br w:type="page"/>
      </w:r>
      <w:r>
        <w:rPr>
          <w:rFonts w:hint="eastAsia" w:ascii="宋体" w:hAnsi="宋体" w:cs="宋体"/>
          <w:sz w:val="36"/>
          <w:szCs w:val="36"/>
        </w:rPr>
        <w:t>第三章  供应商资格条件要求</w:t>
      </w:r>
      <w:bookmarkEnd w:id="74"/>
    </w:p>
    <w:p>
      <w:pPr>
        <w:tabs>
          <w:tab w:val="left" w:pos="7665"/>
        </w:tabs>
        <w:spacing w:line="360" w:lineRule="auto"/>
        <w:rPr>
          <w:rFonts w:ascii="宋体" w:hAnsi="宋体" w:cs="宋体"/>
          <w:sz w:val="24"/>
        </w:rPr>
      </w:pPr>
      <w:r>
        <w:rPr>
          <w:rFonts w:hint="eastAsia" w:ascii="宋体" w:hAnsi="宋体" w:cs="宋体"/>
          <w:b/>
          <w:bCs/>
          <w:color w:val="000000"/>
          <w:sz w:val="24"/>
        </w:rPr>
        <w:t>（一）满足《中华人民共和国政府采购法》第二十二条规定的条件：</w:t>
      </w:r>
    </w:p>
    <w:p>
      <w:pPr>
        <w:spacing w:line="360" w:lineRule="auto"/>
        <w:rPr>
          <w:rFonts w:ascii="宋体" w:hAnsi="宋体" w:cs="宋体"/>
          <w:sz w:val="24"/>
        </w:rPr>
      </w:pPr>
      <w:r>
        <w:rPr>
          <w:rFonts w:hint="eastAsia" w:ascii="宋体" w:hAnsi="宋体" w:cs="宋体"/>
          <w:sz w:val="24"/>
        </w:rPr>
        <w:t>1、具有独立承担民事责任的能力；</w:t>
      </w:r>
    </w:p>
    <w:p>
      <w:pPr>
        <w:tabs>
          <w:tab w:val="left" w:pos="7665"/>
        </w:tabs>
        <w:spacing w:line="360" w:lineRule="auto"/>
        <w:rPr>
          <w:rFonts w:ascii="宋体" w:hAnsi="宋体" w:cs="宋体"/>
          <w:sz w:val="24"/>
        </w:rPr>
      </w:pPr>
      <w:r>
        <w:rPr>
          <w:rFonts w:hint="eastAsia" w:ascii="宋体" w:hAnsi="宋体" w:cs="宋体"/>
          <w:sz w:val="24"/>
        </w:rPr>
        <w:t>2、具有良好的商业信誉和健全的财务会计制度；</w:t>
      </w:r>
    </w:p>
    <w:p>
      <w:pPr>
        <w:tabs>
          <w:tab w:val="left" w:pos="7665"/>
        </w:tabs>
        <w:spacing w:line="360" w:lineRule="auto"/>
        <w:rPr>
          <w:rFonts w:ascii="宋体" w:hAnsi="宋体" w:cs="宋体"/>
          <w:sz w:val="24"/>
        </w:rPr>
      </w:pPr>
      <w:r>
        <w:rPr>
          <w:rFonts w:hint="eastAsia" w:ascii="宋体" w:hAnsi="宋体" w:cs="宋体"/>
          <w:sz w:val="24"/>
        </w:rPr>
        <w:t>3、具有履行合同所必需的设备和专业技术能力；</w:t>
      </w:r>
    </w:p>
    <w:p>
      <w:pPr>
        <w:tabs>
          <w:tab w:val="left" w:pos="7665"/>
        </w:tabs>
        <w:spacing w:line="360" w:lineRule="auto"/>
        <w:rPr>
          <w:rFonts w:ascii="宋体" w:hAnsi="宋体" w:cs="宋体"/>
          <w:sz w:val="24"/>
        </w:rPr>
      </w:pPr>
      <w:r>
        <w:rPr>
          <w:rFonts w:hint="eastAsia" w:ascii="宋体" w:hAnsi="宋体" w:cs="宋体"/>
          <w:sz w:val="24"/>
        </w:rPr>
        <w:t>4、有依法缴纳税收和社会保障资金的良好记录；</w:t>
      </w:r>
    </w:p>
    <w:p>
      <w:pPr>
        <w:tabs>
          <w:tab w:val="left" w:pos="7665"/>
        </w:tabs>
        <w:spacing w:line="360" w:lineRule="auto"/>
        <w:rPr>
          <w:rFonts w:ascii="宋体" w:hAnsi="宋体" w:cs="宋体"/>
          <w:b/>
          <w:bCs/>
          <w:sz w:val="24"/>
        </w:rPr>
      </w:pPr>
      <w:r>
        <w:rPr>
          <w:rFonts w:hint="eastAsia" w:ascii="宋体" w:hAnsi="宋体" w:cs="宋体"/>
          <w:sz w:val="24"/>
        </w:rPr>
        <w:t>5、参加本次政府采购活动前三年内，在经营活动中没有重大违法记录；</w:t>
      </w:r>
      <w:r>
        <w:rPr>
          <w:rFonts w:hint="eastAsia" w:ascii="宋体" w:hAnsi="宋体" w:cs="宋体"/>
          <w:color w:val="000000"/>
          <w:sz w:val="24"/>
        </w:rPr>
        <w:t>（公司成立不足三年的从成立之日起算）</w:t>
      </w:r>
    </w:p>
    <w:p>
      <w:pPr>
        <w:spacing w:line="360" w:lineRule="auto"/>
        <w:rPr>
          <w:rFonts w:ascii="宋体" w:hAnsi="宋体" w:cs="宋体"/>
          <w:color w:val="000000"/>
          <w:sz w:val="24"/>
        </w:rPr>
      </w:pPr>
      <w:r>
        <w:rPr>
          <w:rFonts w:hint="eastAsia" w:ascii="宋体" w:hAnsi="宋体" w:cs="宋体"/>
          <w:sz w:val="24"/>
        </w:rPr>
        <w:t>6、</w:t>
      </w:r>
      <w:r>
        <w:rPr>
          <w:rFonts w:hint="eastAsia" w:ascii="宋体" w:hAnsi="宋体" w:cs="宋体"/>
          <w:color w:val="000000"/>
          <w:sz w:val="24"/>
        </w:rPr>
        <w:t>具备法律、行政法规规定的其他条件。</w:t>
      </w:r>
    </w:p>
    <w:p>
      <w:pPr>
        <w:tabs>
          <w:tab w:val="left" w:pos="7665"/>
        </w:tabs>
        <w:spacing w:line="360" w:lineRule="auto"/>
        <w:rPr>
          <w:rFonts w:ascii="宋体" w:hAnsi="宋体" w:cs="宋体"/>
          <w:b/>
          <w:bCs/>
          <w:color w:val="000000"/>
          <w:sz w:val="24"/>
        </w:rPr>
      </w:pPr>
      <w:r>
        <w:rPr>
          <w:rFonts w:hint="eastAsia" w:ascii="宋体" w:hAnsi="宋体" w:cs="宋体"/>
          <w:b/>
          <w:bCs/>
          <w:color w:val="000000"/>
          <w:sz w:val="24"/>
        </w:rPr>
        <w:t>（二）落实政府采购政策需满足的资格要求：</w:t>
      </w:r>
    </w:p>
    <w:p>
      <w:pPr>
        <w:tabs>
          <w:tab w:val="left" w:pos="7665"/>
        </w:tabs>
        <w:spacing w:line="360" w:lineRule="auto"/>
        <w:rPr>
          <w:rFonts w:ascii="宋体" w:hAnsi="宋体" w:cs="宋体"/>
        </w:rPr>
      </w:pPr>
      <w:r>
        <w:rPr>
          <w:rFonts w:hint="eastAsia" w:ascii="宋体" w:hAnsi="宋体" w:cs="宋体"/>
          <w:color w:val="000000"/>
          <w:sz w:val="24"/>
        </w:rPr>
        <w:t>无；</w:t>
      </w:r>
    </w:p>
    <w:p>
      <w:pPr>
        <w:numPr>
          <w:ilvl w:val="0"/>
          <w:numId w:val="3"/>
        </w:numPr>
        <w:tabs>
          <w:tab w:val="left" w:pos="7665"/>
        </w:tabs>
        <w:spacing w:line="360" w:lineRule="auto"/>
        <w:rPr>
          <w:rFonts w:ascii="宋体" w:hAnsi="宋体" w:cs="宋体"/>
          <w:color w:val="000000"/>
          <w:sz w:val="24"/>
        </w:rPr>
      </w:pPr>
      <w:r>
        <w:rPr>
          <w:rFonts w:hint="eastAsia" w:ascii="宋体" w:hAnsi="宋体" w:cs="宋体"/>
          <w:b/>
          <w:bCs/>
          <w:color w:val="000000"/>
          <w:sz w:val="24"/>
        </w:rPr>
        <w:t>本项目的特定资格要求</w:t>
      </w:r>
      <w:r>
        <w:rPr>
          <w:rFonts w:hint="eastAsia" w:ascii="宋体" w:hAnsi="宋体" w:cs="宋体"/>
          <w:color w:val="000000"/>
          <w:sz w:val="24"/>
        </w:rPr>
        <w:t>：</w:t>
      </w:r>
    </w:p>
    <w:p>
      <w:pPr>
        <w:tabs>
          <w:tab w:val="left" w:pos="7665"/>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pPr>
        <w:tabs>
          <w:tab w:val="left" w:pos="7665"/>
        </w:tabs>
        <w:spacing w:line="360" w:lineRule="auto"/>
        <w:rPr>
          <w:rFonts w:ascii="宋体" w:hAnsi="宋体" w:cs="宋体"/>
          <w:b/>
          <w:bCs/>
          <w:color w:val="000000"/>
          <w:sz w:val="24"/>
        </w:rPr>
      </w:pPr>
      <w:r>
        <w:rPr>
          <w:rFonts w:hint="eastAsia" w:ascii="宋体" w:hAnsi="宋体" w:cs="宋体"/>
          <w:b/>
          <w:bCs/>
          <w:color w:val="000000"/>
          <w:sz w:val="24"/>
        </w:rPr>
        <w:t>（四）其他类似效力要求：</w:t>
      </w:r>
    </w:p>
    <w:p>
      <w:pPr>
        <w:spacing w:line="360" w:lineRule="auto"/>
        <w:rPr>
          <w:rFonts w:ascii="宋体" w:hAnsi="宋体" w:cs="宋体"/>
          <w:sz w:val="24"/>
        </w:rPr>
      </w:pPr>
      <w:r>
        <w:rPr>
          <w:rFonts w:hint="eastAsia" w:ascii="宋体" w:hAnsi="宋体" w:cs="宋体"/>
          <w:sz w:val="24"/>
        </w:rPr>
        <w:t>1、根据《关于在政府采购活动中查询及使用信用记录有关问题的通知》（财库〔2016〕125号）的要求，拒绝列入失信被执行人名单、重大税收违法案件当事人名单（重大税收违法失信主体）、政府采购严重违法失信行为记录名单中的供应商参加本项目的采购活动；</w:t>
      </w:r>
    </w:p>
    <w:p>
      <w:pPr>
        <w:tabs>
          <w:tab w:val="left" w:pos="7665"/>
        </w:tabs>
        <w:spacing w:line="360" w:lineRule="auto"/>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授权参加本次采购活动的供应商代表证明材料</w:t>
      </w:r>
      <w:r>
        <w:rPr>
          <w:rFonts w:hint="eastAsia" w:ascii="宋体" w:hAnsi="宋体" w:cs="宋体"/>
          <w:color w:val="000000"/>
          <w:sz w:val="24"/>
        </w:rPr>
        <w:t>；</w:t>
      </w:r>
    </w:p>
    <w:p>
      <w:pPr>
        <w:tabs>
          <w:tab w:val="left" w:pos="4665"/>
        </w:tabs>
        <w:spacing w:line="360" w:lineRule="auto"/>
        <w:rPr>
          <w:rFonts w:ascii="宋体" w:hAnsi="宋体" w:cs="宋体"/>
          <w:sz w:val="24"/>
        </w:rPr>
      </w:pPr>
      <w:r>
        <w:rPr>
          <w:rFonts w:hint="eastAsia" w:ascii="宋体" w:hAnsi="宋体" w:cs="宋体"/>
          <w:sz w:val="24"/>
        </w:rPr>
        <w:t>3、按照本项目竞争性磋商文件要求获取了竞争性磋商文件；</w:t>
      </w:r>
      <w:r>
        <w:rPr>
          <w:rFonts w:hint="eastAsia" w:ascii="宋体" w:hAnsi="宋体" w:cs="宋体"/>
          <w:sz w:val="24"/>
        </w:rPr>
        <w:tab/>
      </w:r>
    </w:p>
    <w:p>
      <w:pPr>
        <w:pStyle w:val="53"/>
        <w:ind w:firstLine="0" w:firstLineChars="0"/>
        <w:rPr>
          <w:rFonts w:ascii="宋体" w:hAnsi="宋体" w:cs="宋体"/>
          <w:b/>
          <w:sz w:val="24"/>
        </w:rPr>
      </w:pPr>
      <w:r>
        <w:rPr>
          <w:rFonts w:hint="eastAsia" w:ascii="宋体" w:hAnsi="宋体" w:cs="宋体"/>
          <w:b/>
          <w:sz w:val="24"/>
        </w:rPr>
        <w:t>注：1、本章资格要求第（5款）中“参加本次政府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hint="eastAsia" w:ascii="宋体" w:hAnsi="宋体" w:cs="宋体"/>
          <w:b/>
          <w:bCs/>
          <w:sz w:val="24"/>
        </w:rPr>
        <w:t>以财库</w:t>
      </w:r>
      <w:r>
        <w:rPr>
          <w:rFonts w:hint="eastAsia" w:ascii="宋体" w:hAnsi="宋体" w:cs="宋体"/>
          <w:b/>
          <w:bCs/>
          <w:kern w:val="0"/>
          <w:sz w:val="24"/>
        </w:rPr>
        <w:t>〔2022〕3号文为准，即</w:t>
      </w:r>
      <w:r>
        <w:rPr>
          <w:rFonts w:hint="eastAsia" w:ascii="宋体" w:hAnsi="宋体" w:cs="宋体"/>
          <w:b/>
          <w:bCs/>
          <w:sz w:val="24"/>
        </w:rPr>
        <w:t>：认定为200万元以上的罚款，法律、行政法规以及国务院有关部门明确规定相关领域“较大数额罚款”标准高于200万元的，从其规定。</w:t>
      </w:r>
    </w:p>
    <w:p>
      <w:pPr>
        <w:spacing w:line="360" w:lineRule="auto"/>
        <w:ind w:firstLine="482" w:firstLineChars="200"/>
        <w:rPr>
          <w:rFonts w:ascii="宋体" w:hAnsi="宋体" w:cs="宋体"/>
          <w:b/>
          <w:sz w:val="24"/>
        </w:rPr>
      </w:pPr>
      <w:r>
        <w:rPr>
          <w:rFonts w:hint="eastAsia" w:ascii="宋体" w:hAnsi="宋体" w:cs="宋体"/>
          <w:b/>
          <w:sz w:val="24"/>
        </w:rPr>
        <w:t>2、本章要求供应商提供的资格证明材料必须加盖供应商印章（鲜章）。</w:t>
      </w:r>
    </w:p>
    <w:p>
      <w:pPr>
        <w:pStyle w:val="4"/>
        <w:spacing w:before="0" w:after="0" w:line="360" w:lineRule="auto"/>
        <w:jc w:val="center"/>
        <w:rPr>
          <w:rFonts w:ascii="宋体" w:hAnsi="宋体" w:cs="宋体"/>
          <w:sz w:val="36"/>
          <w:szCs w:val="36"/>
        </w:rPr>
      </w:pPr>
      <w:r>
        <w:rPr>
          <w:rFonts w:hint="eastAsia" w:ascii="宋体" w:hAnsi="宋体" w:cs="宋体"/>
          <w:b w:val="0"/>
          <w:color w:val="000000"/>
          <w:sz w:val="32"/>
          <w:szCs w:val="32"/>
        </w:rPr>
        <w:br w:type="page"/>
      </w:r>
      <w:bookmarkStart w:id="75" w:name="_Toc517447491"/>
      <w:r>
        <w:rPr>
          <w:rFonts w:hint="eastAsia" w:ascii="宋体" w:hAnsi="宋体" w:cs="宋体"/>
          <w:sz w:val="36"/>
          <w:szCs w:val="36"/>
        </w:rPr>
        <w:t>第四章  供应商资格证明材料</w:t>
      </w:r>
      <w:bookmarkEnd w:id="75"/>
    </w:p>
    <w:p>
      <w:pPr>
        <w:tabs>
          <w:tab w:val="left" w:pos="7665"/>
        </w:tabs>
        <w:spacing w:line="360" w:lineRule="auto"/>
        <w:rPr>
          <w:rFonts w:ascii="宋体" w:hAnsi="宋体" w:cs="宋体"/>
          <w:color w:val="000000"/>
          <w:sz w:val="24"/>
        </w:rPr>
      </w:pPr>
      <w:r>
        <w:rPr>
          <w:rFonts w:hint="eastAsia" w:ascii="宋体" w:hAnsi="宋体" w:cs="宋体"/>
          <w:b/>
          <w:bCs/>
          <w:color w:val="000000"/>
          <w:sz w:val="24"/>
        </w:rPr>
        <w:t>（一）满足《中华人民共和国政府采购法》第二十二条规定的条件：</w:t>
      </w:r>
    </w:p>
    <w:p>
      <w:pPr>
        <w:spacing w:line="360" w:lineRule="auto"/>
        <w:rPr>
          <w:rFonts w:ascii="宋体" w:hAnsi="宋体" w:cs="宋体"/>
          <w:color w:val="000000"/>
          <w:sz w:val="24"/>
        </w:rPr>
      </w:pPr>
      <w:r>
        <w:rPr>
          <w:rFonts w:hint="eastAsia" w:ascii="宋体" w:hAnsi="宋体" w:cs="宋体"/>
          <w:color w:val="000000"/>
          <w:sz w:val="24"/>
        </w:rPr>
        <w:t>1、具有独立承担民事责任的能力：</w:t>
      </w:r>
    </w:p>
    <w:p>
      <w:pPr>
        <w:spacing w:line="360" w:lineRule="auto"/>
        <w:rPr>
          <w:rFonts w:ascii="宋体" w:hAnsi="宋体" w:cs="宋体"/>
          <w:sz w:val="24"/>
        </w:rPr>
      </w:pPr>
      <w:r>
        <w:rPr>
          <w:rFonts w:hint="eastAsia" w:ascii="宋体" w:hAnsi="宋体" w:cs="宋体"/>
          <w:color w:val="000000"/>
          <w:sz w:val="24"/>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w:t>
      </w:r>
      <w:r>
        <w:rPr>
          <w:rFonts w:hint="eastAsia" w:ascii="宋体" w:hAnsi="宋体" w:cs="宋体"/>
          <w:color w:val="000000"/>
          <w:sz w:val="24"/>
          <w:lang w:val="zh-TW"/>
        </w:rPr>
        <w:t>若为</w:t>
      </w:r>
      <w:r>
        <w:rPr>
          <w:rFonts w:hint="eastAsia" w:ascii="宋体" w:hAnsi="宋体" w:cs="宋体"/>
          <w:color w:val="000000"/>
          <w:sz w:val="24"/>
        </w:rPr>
        <w:t>个</w:t>
      </w:r>
      <w:r>
        <w:rPr>
          <w:rFonts w:hint="eastAsia" w:ascii="宋体" w:hAnsi="宋体" w:cs="宋体"/>
          <w:sz w:val="24"/>
        </w:rPr>
        <w:t>体工商户：提供“统一社会信用代码营业执照副本”或“营业执照、税务登记证”⑤若为自然人：提供“身份证明材料”。以上均提供复印件）</w:t>
      </w:r>
    </w:p>
    <w:p>
      <w:pPr>
        <w:spacing w:line="360" w:lineRule="auto"/>
        <w:rPr>
          <w:rFonts w:ascii="宋体" w:hAnsi="宋体" w:cs="宋体"/>
          <w:sz w:val="24"/>
        </w:rPr>
      </w:pPr>
      <w:r>
        <w:rPr>
          <w:rFonts w:hint="eastAsia" w:ascii="宋体" w:hAnsi="宋体" w:cs="宋体"/>
          <w:color w:val="000000"/>
          <w:sz w:val="24"/>
        </w:rPr>
        <w:t>2、</w:t>
      </w:r>
      <w:r>
        <w:rPr>
          <w:rFonts w:hint="eastAsia" w:ascii="宋体" w:hAnsi="宋体" w:cs="宋体"/>
          <w:sz w:val="24"/>
        </w:rPr>
        <w:t>具有良好的商业信誉和健全的财务会计制度：</w:t>
      </w:r>
    </w:p>
    <w:p>
      <w:pPr>
        <w:spacing w:line="360" w:lineRule="auto"/>
        <w:rPr>
          <w:rFonts w:ascii="宋体" w:hAnsi="宋体" w:cs="宋体"/>
          <w:color w:val="000000"/>
          <w:sz w:val="24"/>
        </w:rPr>
      </w:pPr>
      <w:r>
        <w:rPr>
          <w:rFonts w:hint="eastAsia" w:ascii="宋体" w:hAnsi="宋体" w:cs="宋体"/>
          <w:sz w:val="24"/>
        </w:rPr>
        <w:t>（①具有健全的财务会计制度的证明材料： A、可提供2021年度（含）至今（任意一年度）经审计的财务报告（包含审计报告和审计报告中所涉及的财务报表和报表附注）；B、也可提供2021年度（含）至今（任意一年度）供应商内部的财务报表（财务报表内容至少包含并体现资产负债、现金流量及利润情况）；C、也可提供截止响应文件递交截止日一年内其基本开户银行出具的资信证明；D、供应商注册时间截止响应文件递交截止日不足一年的，也可提供加盖工商备案主管部门印章的公司章程。以上均提供复印件）</w:t>
      </w:r>
    </w:p>
    <w:p>
      <w:pPr>
        <w:spacing w:line="360" w:lineRule="auto"/>
        <w:rPr>
          <w:rFonts w:ascii="宋体" w:hAnsi="宋体" w:cs="宋体"/>
          <w:color w:val="000000"/>
          <w:sz w:val="24"/>
        </w:rPr>
      </w:pPr>
      <w:r>
        <w:rPr>
          <w:rFonts w:hint="eastAsia" w:ascii="宋体" w:hAnsi="宋体" w:cs="宋体"/>
          <w:color w:val="000000"/>
          <w:sz w:val="24"/>
        </w:rPr>
        <w:t xml:space="preserve">  ②提供具有良好的商业信誉承诺函；（原件）</w:t>
      </w:r>
    </w:p>
    <w:p>
      <w:pPr>
        <w:spacing w:line="360" w:lineRule="auto"/>
        <w:rPr>
          <w:rFonts w:ascii="宋体" w:hAnsi="宋体" w:cs="宋体"/>
          <w:color w:val="000000"/>
          <w:sz w:val="24"/>
        </w:rPr>
      </w:pPr>
      <w:r>
        <w:rPr>
          <w:rFonts w:hint="eastAsia" w:ascii="宋体" w:hAnsi="宋体" w:cs="宋体"/>
          <w:color w:val="000000"/>
          <w:sz w:val="24"/>
        </w:rPr>
        <w:t xml:space="preserve">3、提供具有履行合同所必需的设备和专业技术能力承诺函；（原件） </w:t>
      </w:r>
    </w:p>
    <w:p>
      <w:pPr>
        <w:spacing w:line="360" w:lineRule="auto"/>
        <w:rPr>
          <w:rFonts w:ascii="宋体" w:hAnsi="宋体" w:cs="宋体"/>
          <w:color w:val="000000"/>
          <w:sz w:val="24"/>
        </w:rPr>
      </w:pPr>
      <w:r>
        <w:rPr>
          <w:rFonts w:hint="eastAsia" w:ascii="宋体" w:hAnsi="宋体" w:cs="宋体"/>
          <w:color w:val="000000"/>
          <w:sz w:val="24"/>
        </w:rPr>
        <w:t>4、①</w:t>
      </w:r>
      <w:r>
        <w:rPr>
          <w:rFonts w:hint="eastAsia" w:ascii="宋体" w:hAnsi="宋体" w:cs="宋体"/>
          <w:sz w:val="24"/>
        </w:rPr>
        <w:t>提供2021年至递交响应文件截止时间前任意一个月的</w:t>
      </w:r>
      <w:r>
        <w:rPr>
          <w:rFonts w:hint="eastAsia" w:ascii="宋体" w:hAnsi="宋体" w:cs="宋体"/>
          <w:color w:val="000000"/>
          <w:sz w:val="24"/>
        </w:rPr>
        <w:t>纳税证明材料复印件或有</w:t>
      </w:r>
      <w:r>
        <w:rPr>
          <w:rFonts w:hint="eastAsia" w:ascii="宋体" w:hAnsi="宋体" w:cs="宋体"/>
          <w:sz w:val="24"/>
        </w:rPr>
        <w:t>依法缴纳税收良好记录的承诺函原件；（注：证明材料可为银行电子回单或税务部门出具的纳税证明或完税证明或有效票据的复印件）</w:t>
      </w:r>
    </w:p>
    <w:p>
      <w:pPr>
        <w:spacing w:line="360" w:lineRule="auto"/>
        <w:ind w:firstLine="240" w:firstLineChars="100"/>
        <w:rPr>
          <w:rFonts w:ascii="宋体" w:hAnsi="宋体" w:cs="宋体"/>
          <w:color w:val="000000"/>
          <w:sz w:val="24"/>
        </w:rPr>
      </w:pPr>
      <w:r>
        <w:rPr>
          <w:rFonts w:hint="eastAsia" w:ascii="宋体" w:hAnsi="宋体" w:cs="宋体"/>
          <w:color w:val="000000"/>
          <w:sz w:val="24"/>
        </w:rPr>
        <w:t>②</w:t>
      </w:r>
      <w:r>
        <w:rPr>
          <w:rFonts w:hint="eastAsia" w:ascii="宋体" w:hAnsi="宋体" w:cs="宋体"/>
          <w:sz w:val="24"/>
        </w:rPr>
        <w:t>提供2021年至递交响应文件截止时间前任意一个月的社保缴纳证明材料复印件或有依法缴纳社会保障资金良好记录的承诺函原件；（注：证明材料为银行电子回单或社保部门出具的社保缴纳证明材料或有效票据复印件）</w:t>
      </w:r>
    </w:p>
    <w:p>
      <w:pPr>
        <w:spacing w:line="360" w:lineRule="auto"/>
        <w:ind w:firstLine="240" w:firstLineChars="100"/>
        <w:rPr>
          <w:rFonts w:ascii="宋体" w:hAnsi="宋体" w:cs="宋体"/>
          <w:sz w:val="24"/>
        </w:rPr>
      </w:pPr>
      <w:r>
        <w:rPr>
          <w:rFonts w:hint="eastAsia" w:ascii="宋体" w:hAnsi="宋体" w:cs="宋体"/>
          <w:color w:val="000000"/>
          <w:sz w:val="24"/>
        </w:rPr>
        <w:t>③</w:t>
      </w:r>
      <w:r>
        <w:rPr>
          <w:rFonts w:hint="eastAsia" w:ascii="宋体" w:hAnsi="宋体" w:cs="宋体"/>
          <w:sz w:val="24"/>
        </w:rPr>
        <w:t>依法免税和不需要缴纳社会保障资金的供应商，应提供相应文件证明。</w:t>
      </w:r>
    </w:p>
    <w:p>
      <w:pPr>
        <w:spacing w:line="360" w:lineRule="auto"/>
        <w:rPr>
          <w:rFonts w:ascii="宋体" w:hAnsi="宋体" w:cs="宋体"/>
          <w:color w:val="000000"/>
          <w:sz w:val="24"/>
        </w:rPr>
      </w:pPr>
      <w:r>
        <w:rPr>
          <w:rFonts w:hint="eastAsia" w:ascii="宋体" w:hAnsi="宋体" w:cs="宋体"/>
          <w:color w:val="000000"/>
          <w:sz w:val="24"/>
        </w:rPr>
        <w:t>5、提供</w:t>
      </w:r>
      <w:r>
        <w:rPr>
          <w:rFonts w:hint="eastAsia" w:ascii="宋体" w:hAnsi="宋体" w:cs="宋体"/>
          <w:sz w:val="24"/>
        </w:rPr>
        <w:t>参加本次政府采购活动前三年内，在经营活动中没有重大违法记录的承诺函</w:t>
      </w:r>
      <w:r>
        <w:rPr>
          <w:rFonts w:hint="eastAsia" w:ascii="宋体" w:hAnsi="宋体" w:cs="宋体"/>
          <w:color w:val="000000"/>
          <w:sz w:val="24"/>
        </w:rPr>
        <w:t>；（原件）（公司成立不足三年的从成立之日起算）</w:t>
      </w:r>
    </w:p>
    <w:p>
      <w:pPr>
        <w:spacing w:line="360" w:lineRule="auto"/>
        <w:rPr>
          <w:rFonts w:ascii="宋体" w:hAnsi="宋体" w:cs="宋体"/>
          <w:sz w:val="24"/>
        </w:rPr>
      </w:pPr>
      <w:r>
        <w:rPr>
          <w:rFonts w:hint="eastAsia" w:ascii="宋体" w:hAnsi="宋体" w:cs="宋体"/>
          <w:sz w:val="24"/>
        </w:rPr>
        <w:t>6、提供具备法律、行政法规规定的其他条件的承诺函；（原件）</w:t>
      </w:r>
    </w:p>
    <w:p>
      <w:pPr>
        <w:tabs>
          <w:tab w:val="left" w:pos="7665"/>
        </w:tabs>
        <w:spacing w:line="360" w:lineRule="auto"/>
        <w:rPr>
          <w:rFonts w:ascii="宋体" w:hAnsi="宋体" w:cs="宋体"/>
          <w:b/>
          <w:bCs/>
          <w:color w:val="000000"/>
          <w:sz w:val="24"/>
        </w:rPr>
      </w:pPr>
      <w:r>
        <w:rPr>
          <w:rFonts w:hint="eastAsia" w:ascii="宋体" w:hAnsi="宋体" w:cs="宋体"/>
          <w:b/>
          <w:bCs/>
          <w:color w:val="000000"/>
          <w:sz w:val="24"/>
        </w:rPr>
        <w:t>（二）落实政府采购政策需满足的资格要求：</w:t>
      </w:r>
    </w:p>
    <w:p>
      <w:pPr>
        <w:spacing w:line="360" w:lineRule="auto"/>
        <w:rPr>
          <w:rFonts w:ascii="宋体" w:hAnsi="宋体" w:cs="宋体"/>
        </w:rPr>
      </w:pPr>
      <w:r>
        <w:rPr>
          <w:rFonts w:hint="eastAsia" w:ascii="宋体" w:hAnsi="宋体" w:cs="宋体"/>
          <w:sz w:val="24"/>
        </w:rPr>
        <w:t>无</w:t>
      </w:r>
    </w:p>
    <w:p>
      <w:pPr>
        <w:tabs>
          <w:tab w:val="left" w:pos="7665"/>
        </w:tabs>
        <w:spacing w:line="360" w:lineRule="auto"/>
        <w:rPr>
          <w:rFonts w:ascii="宋体" w:hAnsi="宋体" w:cs="宋体"/>
          <w:color w:val="000000"/>
          <w:sz w:val="24"/>
        </w:rPr>
      </w:pPr>
      <w:r>
        <w:rPr>
          <w:rFonts w:hint="eastAsia" w:ascii="宋体" w:hAnsi="宋体" w:cs="宋体"/>
          <w:b/>
          <w:bCs/>
          <w:color w:val="000000"/>
          <w:sz w:val="24"/>
        </w:rPr>
        <w:t>（三）本项目的特定资格要求</w:t>
      </w:r>
      <w:r>
        <w:rPr>
          <w:rFonts w:hint="eastAsia" w:ascii="宋体" w:hAnsi="宋体" w:cs="宋体"/>
          <w:color w:val="000000"/>
          <w:sz w:val="24"/>
        </w:rPr>
        <w:t>：</w:t>
      </w:r>
    </w:p>
    <w:p>
      <w:pPr>
        <w:tabs>
          <w:tab w:val="left" w:pos="7665"/>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p>
      <w:pPr>
        <w:spacing w:line="360" w:lineRule="auto"/>
        <w:rPr>
          <w:rFonts w:ascii="宋体" w:hAnsi="宋体" w:cs="宋体"/>
        </w:rPr>
      </w:pPr>
      <w:r>
        <w:rPr>
          <w:rFonts w:hint="eastAsia" w:ascii="宋体" w:hAnsi="宋体" w:cs="宋体"/>
          <w:b/>
          <w:bCs/>
          <w:color w:val="000000"/>
          <w:sz w:val="24"/>
        </w:rPr>
        <w:t>（四）其他类似效力要求相关证明材料：</w:t>
      </w:r>
    </w:p>
    <w:p>
      <w:pPr>
        <w:spacing w:line="360" w:lineRule="auto"/>
        <w:rPr>
          <w:rFonts w:ascii="宋体" w:hAnsi="宋体" w:cs="宋体"/>
          <w:sz w:val="24"/>
          <w:highlight w:val="green"/>
        </w:rPr>
      </w:pPr>
      <w:r>
        <w:rPr>
          <w:rFonts w:hint="eastAsia" w:ascii="宋体" w:hAnsi="宋体" w:cs="宋体"/>
          <w:sz w:val="24"/>
        </w:rPr>
        <w:t>1、采购代理机构通过“信用中国”网站（www.creditchina.gov.cn）、“中国政府采购网”网站（www.ccgp.gov.cn）等渠道查询供应商在</w:t>
      </w:r>
      <w:r>
        <w:rPr>
          <w:rFonts w:hint="eastAsia" w:ascii="宋体" w:hAnsi="宋体" w:cs="宋体"/>
          <w:color w:val="000000"/>
          <w:sz w:val="24"/>
        </w:rPr>
        <w:t>递交响应文件截止之日</w:t>
      </w:r>
      <w:r>
        <w:rPr>
          <w:rFonts w:hint="eastAsia" w:ascii="宋体" w:hAnsi="宋体" w:cs="宋体"/>
          <w:sz w:val="24"/>
        </w:rPr>
        <w:t>前的信用记录并保存信用记录结果网页截图，拒绝列入失信被执行人名单、重大税收违法案件当事人名单（重大税收违法失信主体）、政府采购严重违法失信行为记录名单中的供应商参加本项目的采购活动。</w:t>
      </w:r>
      <w:r>
        <w:rPr>
          <w:rFonts w:hint="eastAsia" w:ascii="宋体" w:hAnsi="宋体" w:cs="宋体"/>
          <w:b/>
          <w:bCs/>
          <w:sz w:val="24"/>
        </w:rPr>
        <w:t>（供应商提供网站截图作为证明材料）</w:t>
      </w:r>
    </w:p>
    <w:p>
      <w:pPr>
        <w:spacing w:line="360" w:lineRule="auto"/>
        <w:rPr>
          <w:rFonts w:ascii="宋体" w:hAnsi="宋体" w:cs="宋体"/>
          <w:color w:val="000000"/>
          <w:sz w:val="24"/>
        </w:rPr>
      </w:pPr>
      <w:r>
        <w:rPr>
          <w:rFonts w:hint="eastAsia" w:ascii="宋体" w:hAnsi="宋体" w:cs="宋体"/>
          <w:color w:val="000000"/>
          <w:sz w:val="24"/>
        </w:rPr>
        <w:t>2、法定代表人（负责人）身份证明材料复印件；</w:t>
      </w:r>
    </w:p>
    <w:p>
      <w:pPr>
        <w:spacing w:line="360" w:lineRule="auto"/>
        <w:rPr>
          <w:rFonts w:ascii="宋体" w:hAnsi="宋体" w:cs="宋体"/>
          <w:color w:val="000000"/>
          <w:sz w:val="24"/>
        </w:rPr>
      </w:pPr>
      <w:r>
        <w:rPr>
          <w:rFonts w:hint="eastAsia" w:ascii="宋体" w:hAnsi="宋体" w:cs="宋体"/>
          <w:color w:val="000000"/>
          <w:sz w:val="24"/>
        </w:rPr>
        <w:t>3、法定代表人（负责人）授权书原件及授权代表身份证明材料复印件（注：如磋商文件均由供应商法定代表人（负责人）签字的且法定代表人（负责人）本人参与磋商的，则提供法定代表人（负责人）资格证明书）；</w:t>
      </w:r>
    </w:p>
    <w:p>
      <w:pPr>
        <w:spacing w:line="360" w:lineRule="auto"/>
        <w:rPr>
          <w:rFonts w:ascii="宋体" w:hAnsi="宋体" w:cs="宋体"/>
          <w:sz w:val="24"/>
        </w:rPr>
      </w:pPr>
      <w:r>
        <w:rPr>
          <w:rFonts w:hint="eastAsia" w:ascii="宋体" w:hAnsi="宋体" w:cs="宋体"/>
          <w:color w:val="000000"/>
          <w:sz w:val="24"/>
        </w:rPr>
        <w:t>4、</w:t>
      </w:r>
      <w:r>
        <w:rPr>
          <w:rFonts w:hint="eastAsia" w:ascii="宋体" w:hAnsi="宋体" w:cs="宋体"/>
          <w:sz w:val="24"/>
        </w:rPr>
        <w:t>按照本项目竞争性磋商文件要求获取了竞争性磋商文件</w:t>
      </w:r>
      <w:r>
        <w:rPr>
          <w:rFonts w:hint="eastAsia" w:ascii="宋体" w:hAnsi="宋体" w:cs="宋体"/>
          <w:b/>
          <w:bCs/>
          <w:sz w:val="24"/>
        </w:rPr>
        <w:t>（供应商不需要对本条提供证明材料，由采购代理机构提供供应商购买竞争性磋商文件情况的材料）</w:t>
      </w:r>
    </w:p>
    <w:p>
      <w:pPr>
        <w:spacing w:line="360" w:lineRule="auto"/>
        <w:rPr>
          <w:rFonts w:ascii="宋体" w:hAnsi="宋体" w:cs="宋体"/>
        </w:rPr>
      </w:pPr>
    </w:p>
    <w:p>
      <w:pPr>
        <w:spacing w:line="360" w:lineRule="auto"/>
        <w:rPr>
          <w:rFonts w:ascii="宋体" w:hAnsi="宋体" w:cs="宋体"/>
          <w:b/>
          <w:sz w:val="24"/>
        </w:rPr>
      </w:pPr>
      <w:r>
        <w:rPr>
          <w:rFonts w:hint="eastAsia" w:ascii="宋体" w:hAnsi="宋体" w:cs="宋体"/>
          <w:b/>
          <w:sz w:val="24"/>
        </w:rPr>
        <w:t>注意：</w:t>
      </w:r>
    </w:p>
    <w:p>
      <w:pPr>
        <w:spacing w:line="360" w:lineRule="auto"/>
        <w:ind w:firstLine="472" w:firstLineChars="196"/>
        <w:rPr>
          <w:rFonts w:ascii="宋体" w:hAnsi="宋体" w:cs="宋体"/>
          <w:b/>
          <w:sz w:val="24"/>
        </w:rPr>
      </w:pPr>
      <w:r>
        <w:rPr>
          <w:rFonts w:hint="eastAsia" w:ascii="宋体" w:hAnsi="宋体" w:cs="宋体"/>
          <w:b/>
          <w:sz w:val="24"/>
        </w:rPr>
        <w:t>1、 以上要求供应商提供的资格证明文件复印件必须加盖供应商公章（鲜章）。</w:t>
      </w:r>
    </w:p>
    <w:p>
      <w:pPr>
        <w:spacing w:line="360" w:lineRule="auto"/>
        <w:ind w:firstLine="472" w:firstLineChars="196"/>
        <w:rPr>
          <w:rFonts w:ascii="宋体" w:hAnsi="宋体" w:cs="宋体"/>
          <w:b/>
          <w:sz w:val="24"/>
        </w:rPr>
      </w:pPr>
      <w:r>
        <w:rPr>
          <w:rFonts w:hint="eastAsia" w:ascii="宋体" w:hAnsi="宋体" w:cs="宋体"/>
          <w:b/>
          <w:sz w:val="24"/>
        </w:rPr>
        <w:t>2、 供应商应对其所提供的资格证明材料的来源的合法性、真实性负责。</w:t>
      </w:r>
    </w:p>
    <w:p>
      <w:pPr>
        <w:spacing w:line="360" w:lineRule="auto"/>
        <w:rPr>
          <w:rFonts w:ascii="宋体" w:hAnsi="宋体" w:cs="宋体"/>
          <w:b/>
          <w:sz w:val="32"/>
          <w:szCs w:val="32"/>
        </w:rPr>
      </w:pPr>
    </w:p>
    <w:p>
      <w:pPr>
        <w:pStyle w:val="4"/>
        <w:spacing w:before="0" w:after="0" w:line="360" w:lineRule="auto"/>
        <w:jc w:val="center"/>
        <w:rPr>
          <w:rFonts w:ascii="宋体" w:hAnsi="宋体" w:cs="宋体"/>
          <w:sz w:val="36"/>
          <w:szCs w:val="36"/>
        </w:rPr>
      </w:pPr>
      <w:bookmarkStart w:id="76" w:name="_Toc517447492"/>
      <w:r>
        <w:rPr>
          <w:rFonts w:hint="eastAsia" w:ascii="宋体" w:hAnsi="宋体" w:cs="宋体"/>
          <w:sz w:val="36"/>
          <w:szCs w:val="36"/>
        </w:rPr>
        <w:br w:type="page"/>
      </w:r>
      <w:r>
        <w:rPr>
          <w:rFonts w:hint="eastAsia" w:ascii="宋体" w:hAnsi="宋体" w:cs="宋体"/>
          <w:sz w:val="36"/>
          <w:szCs w:val="36"/>
        </w:rPr>
        <w:t>第五章  采购项目服务、商务及其他要求</w:t>
      </w:r>
      <w:bookmarkEnd w:id="76"/>
    </w:p>
    <w:p>
      <w:pPr>
        <w:pStyle w:val="31"/>
        <w:spacing w:line="360" w:lineRule="auto"/>
        <w:ind w:left="-5" w:firstLine="5" w:firstLineChars="0"/>
        <w:rPr>
          <w:rFonts w:ascii="宋体" w:hAnsi="宋体" w:cs="宋体"/>
          <w:b/>
          <w:bCs/>
          <w:sz w:val="24"/>
        </w:rPr>
      </w:pPr>
      <w:r>
        <w:rPr>
          <w:rFonts w:hint="eastAsia" w:ascii="宋体" w:hAnsi="宋体" w:cs="宋体"/>
          <w:b/>
          <w:bCs/>
          <w:sz w:val="24"/>
        </w:rPr>
        <w:t>一、项目概述</w:t>
      </w:r>
    </w:p>
    <w:p>
      <w:pPr>
        <w:pStyle w:val="12"/>
        <w:numPr>
          <w:ilvl w:val="0"/>
          <w:numId w:val="4"/>
        </w:numPr>
        <w:tabs>
          <w:tab w:val="left" w:pos="7938"/>
          <w:tab w:val="left" w:pos="8080"/>
        </w:tabs>
        <w:spacing w:after="0" w:line="360" w:lineRule="auto"/>
        <w:ind w:left="-5" w:firstLine="5"/>
        <w:jc w:val="left"/>
        <w:rPr>
          <w:rFonts w:ascii="宋体" w:hAnsi="宋体" w:cs="宋体"/>
          <w:bCs/>
          <w:sz w:val="24"/>
        </w:rPr>
      </w:pPr>
      <w:r>
        <w:rPr>
          <w:rFonts w:ascii="宋体" w:hAnsi="宋体" w:cs="宋体"/>
          <w:bCs/>
          <w:sz w:val="24"/>
        </w:rPr>
        <w:t>绵竹市中医医院技术维保采购项目。本项目包含全院医学装备的技术保。</w:t>
      </w:r>
    </w:p>
    <w:p>
      <w:pPr>
        <w:pStyle w:val="12"/>
        <w:numPr>
          <w:ilvl w:val="0"/>
          <w:numId w:val="4"/>
        </w:numPr>
        <w:tabs>
          <w:tab w:val="left" w:pos="7938"/>
          <w:tab w:val="left" w:pos="8080"/>
        </w:tabs>
        <w:spacing w:after="0" w:line="360" w:lineRule="auto"/>
        <w:ind w:left="-5" w:firstLine="5"/>
        <w:jc w:val="left"/>
        <w:rPr>
          <w:rFonts w:ascii="宋体" w:hAnsi="宋体" w:cs="宋体"/>
          <w:bCs/>
          <w:sz w:val="24"/>
        </w:rPr>
      </w:pPr>
      <w:r>
        <w:rPr>
          <w:rFonts w:ascii="宋体" w:hAnsi="宋体" w:cs="宋体"/>
          <w:bCs/>
          <w:sz w:val="24"/>
        </w:rPr>
        <w:t>本项目采购标的清单对应的中小企业划分标准所属行业：其他未列明行业 。</w:t>
      </w:r>
    </w:p>
    <w:p>
      <w:pPr>
        <w:pStyle w:val="12"/>
        <w:numPr>
          <w:ilvl w:val="0"/>
          <w:numId w:val="4"/>
        </w:numPr>
        <w:tabs>
          <w:tab w:val="left" w:pos="7938"/>
          <w:tab w:val="left" w:pos="8080"/>
        </w:tabs>
        <w:spacing w:after="0" w:line="360" w:lineRule="auto"/>
        <w:ind w:left="-5" w:firstLine="5"/>
        <w:jc w:val="left"/>
        <w:rPr>
          <w:rFonts w:ascii="宋体" w:hAnsi="宋体" w:cs="宋体"/>
          <w:bCs/>
          <w:sz w:val="24"/>
        </w:rPr>
      </w:pPr>
      <w:r>
        <w:rPr>
          <w:rFonts w:ascii="宋体" w:hAnsi="宋体" w:cs="宋体"/>
          <w:bCs/>
          <w:sz w:val="24"/>
        </w:rPr>
        <w:t xml:space="preserve">本项目为服务采购项目。      </w:t>
      </w:r>
    </w:p>
    <w:p>
      <w:pPr>
        <w:spacing w:line="360" w:lineRule="auto"/>
        <w:rPr>
          <w:rFonts w:ascii="宋体" w:hAnsi="宋体" w:cs="宋体"/>
          <w:b/>
          <w:sz w:val="24"/>
        </w:rPr>
      </w:pPr>
      <w:r>
        <w:rPr>
          <w:rFonts w:hint="eastAsia" w:ascii="宋体" w:hAnsi="宋体" w:cs="宋体"/>
          <w:b/>
          <w:sz w:val="24"/>
        </w:rPr>
        <w:t>二、服务内容及要求</w:t>
      </w:r>
    </w:p>
    <w:p>
      <w:pPr>
        <w:spacing w:line="360" w:lineRule="auto"/>
        <w:outlineLvl w:val="1"/>
        <w:rPr>
          <w:rFonts w:ascii="宋体" w:hAnsi="宋体" w:cs="宋体"/>
          <w:b/>
          <w:sz w:val="24"/>
        </w:rPr>
      </w:pPr>
      <w:r>
        <w:rPr>
          <w:rFonts w:hint="eastAsia" w:ascii="宋体" w:hAnsi="宋体" w:cs="宋体"/>
          <w:b/>
          <w:sz w:val="24"/>
        </w:rPr>
        <w:t>（一）设备清单及维保服务类型</w:t>
      </w:r>
    </w:p>
    <w:p>
      <w:pPr>
        <w:spacing w:after="120" w:line="360" w:lineRule="auto"/>
        <w:outlineLvl w:val="1"/>
        <w:rPr>
          <w:rFonts w:ascii="宋体" w:hAnsi="宋体" w:cs="宋体"/>
          <w:b/>
          <w:bCs/>
          <w:sz w:val="24"/>
        </w:rPr>
      </w:pPr>
      <w:r>
        <w:rPr>
          <w:rFonts w:hint="eastAsia" w:ascii="宋体" w:hAnsi="宋体" w:cs="宋体"/>
          <w:b/>
          <w:bCs/>
          <w:sz w:val="24"/>
        </w:rPr>
        <w:t>1、服务期限、服务范围、项目预算</w:t>
      </w:r>
    </w:p>
    <w:tbl>
      <w:tblPr>
        <w:tblStyle w:val="33"/>
        <w:tblpPr w:leftFromText="180" w:rightFromText="180" w:vertAnchor="text" w:horzAnchor="page" w:tblpX="1609" w:tblpY="313"/>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076"/>
        <w:gridCol w:w="1736"/>
        <w:gridCol w:w="158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07" w:type="dxa"/>
            <w:vAlign w:val="center"/>
          </w:tcPr>
          <w:p>
            <w:pPr>
              <w:rPr>
                <w:rFonts w:ascii="宋体" w:hAnsi="宋体" w:cs="宋体"/>
                <w:sz w:val="28"/>
                <w:szCs w:val="28"/>
              </w:rPr>
            </w:pPr>
            <w:r>
              <w:rPr>
                <w:rFonts w:hint="eastAsia" w:ascii="宋体" w:hAnsi="宋体" w:cs="宋体"/>
                <w:sz w:val="28"/>
                <w:szCs w:val="28"/>
              </w:rPr>
              <w:t>序号</w:t>
            </w:r>
          </w:p>
        </w:tc>
        <w:tc>
          <w:tcPr>
            <w:tcW w:w="3076" w:type="dxa"/>
            <w:vAlign w:val="center"/>
          </w:tcPr>
          <w:p>
            <w:pPr>
              <w:rPr>
                <w:rFonts w:ascii="宋体" w:hAnsi="宋体" w:cs="宋体"/>
                <w:sz w:val="28"/>
                <w:szCs w:val="28"/>
              </w:rPr>
            </w:pPr>
            <w:r>
              <w:rPr>
                <w:rFonts w:hint="eastAsia" w:ascii="宋体" w:hAnsi="宋体" w:cs="宋体"/>
                <w:sz w:val="28"/>
                <w:szCs w:val="28"/>
              </w:rPr>
              <w:t>项目名称</w:t>
            </w:r>
          </w:p>
        </w:tc>
        <w:tc>
          <w:tcPr>
            <w:tcW w:w="1736" w:type="dxa"/>
            <w:vAlign w:val="center"/>
          </w:tcPr>
          <w:p>
            <w:pPr>
              <w:rPr>
                <w:rFonts w:ascii="宋体" w:hAnsi="宋体" w:cs="宋体"/>
                <w:sz w:val="28"/>
                <w:szCs w:val="28"/>
              </w:rPr>
            </w:pPr>
            <w:r>
              <w:rPr>
                <w:rFonts w:hint="eastAsia" w:ascii="宋体" w:hAnsi="宋体" w:cs="宋体"/>
                <w:sz w:val="28"/>
                <w:szCs w:val="28"/>
              </w:rPr>
              <w:t>维保类型</w:t>
            </w:r>
          </w:p>
        </w:tc>
        <w:tc>
          <w:tcPr>
            <w:tcW w:w="1584" w:type="dxa"/>
            <w:vAlign w:val="center"/>
          </w:tcPr>
          <w:p>
            <w:pPr>
              <w:rPr>
                <w:rFonts w:ascii="宋体" w:hAnsi="宋体" w:cs="宋体"/>
                <w:sz w:val="28"/>
                <w:szCs w:val="28"/>
              </w:rPr>
            </w:pPr>
            <w:r>
              <w:rPr>
                <w:rFonts w:hint="eastAsia" w:ascii="宋体" w:hAnsi="宋体" w:cs="宋体"/>
                <w:sz w:val="28"/>
                <w:szCs w:val="28"/>
              </w:rPr>
              <w:t>服务期限</w:t>
            </w:r>
          </w:p>
        </w:tc>
        <w:tc>
          <w:tcPr>
            <w:tcW w:w="1481" w:type="dxa"/>
            <w:vAlign w:val="center"/>
          </w:tcPr>
          <w:p>
            <w:pPr>
              <w:rPr>
                <w:rFonts w:ascii="宋体" w:hAnsi="宋体" w:cs="宋体"/>
                <w:sz w:val="28"/>
                <w:szCs w:val="28"/>
              </w:rPr>
            </w:pPr>
            <w:r>
              <w:rPr>
                <w:rFonts w:hint="eastAsia" w:ascii="宋体" w:hAnsi="宋体" w:cs="宋体"/>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07" w:type="dxa"/>
            <w:vAlign w:val="center"/>
          </w:tcPr>
          <w:p>
            <w:pPr>
              <w:rPr>
                <w:rFonts w:ascii="宋体" w:hAnsi="宋体" w:cs="宋体"/>
                <w:sz w:val="28"/>
                <w:szCs w:val="28"/>
              </w:rPr>
            </w:pPr>
            <w:r>
              <w:rPr>
                <w:rFonts w:hint="eastAsia" w:ascii="宋体" w:hAnsi="宋体" w:cs="宋体"/>
                <w:sz w:val="28"/>
                <w:szCs w:val="28"/>
              </w:rPr>
              <w:t>1</w:t>
            </w:r>
          </w:p>
        </w:tc>
        <w:tc>
          <w:tcPr>
            <w:tcW w:w="3076" w:type="dxa"/>
            <w:vAlign w:val="center"/>
          </w:tcPr>
          <w:p>
            <w:pPr>
              <w:rPr>
                <w:rFonts w:ascii="宋体" w:hAnsi="宋体" w:cs="宋体"/>
                <w:sz w:val="28"/>
                <w:szCs w:val="28"/>
              </w:rPr>
            </w:pPr>
            <w:r>
              <w:rPr>
                <w:rFonts w:hint="eastAsia" w:ascii="宋体" w:hAnsi="宋体" w:cs="宋体"/>
                <w:sz w:val="28"/>
                <w:szCs w:val="28"/>
              </w:rPr>
              <w:t>全院医学装备技术维保服务采购项目</w:t>
            </w:r>
          </w:p>
        </w:tc>
        <w:tc>
          <w:tcPr>
            <w:tcW w:w="1736" w:type="dxa"/>
            <w:vAlign w:val="center"/>
          </w:tcPr>
          <w:p>
            <w:pPr>
              <w:rPr>
                <w:rFonts w:ascii="宋体" w:hAnsi="宋体" w:cs="宋体"/>
                <w:sz w:val="28"/>
                <w:szCs w:val="28"/>
              </w:rPr>
            </w:pPr>
            <w:r>
              <w:rPr>
                <w:rFonts w:hint="eastAsia" w:ascii="宋体" w:hAnsi="宋体" w:cs="宋体"/>
                <w:sz w:val="28"/>
                <w:szCs w:val="28"/>
              </w:rPr>
              <w:t>技术保</w:t>
            </w:r>
          </w:p>
        </w:tc>
        <w:tc>
          <w:tcPr>
            <w:tcW w:w="1584" w:type="dxa"/>
            <w:vAlign w:val="center"/>
          </w:tcPr>
          <w:p>
            <w:pPr>
              <w:rPr>
                <w:rFonts w:ascii="宋体" w:hAnsi="宋体" w:cs="宋体"/>
                <w:sz w:val="28"/>
                <w:szCs w:val="28"/>
              </w:rPr>
            </w:pPr>
            <w:r>
              <w:rPr>
                <w:rFonts w:hint="eastAsia" w:ascii="宋体" w:hAnsi="宋体" w:cs="宋体"/>
                <w:sz w:val="28"/>
                <w:szCs w:val="28"/>
              </w:rPr>
              <w:t>3年</w:t>
            </w:r>
          </w:p>
        </w:tc>
        <w:tc>
          <w:tcPr>
            <w:tcW w:w="1481" w:type="dxa"/>
            <w:vAlign w:val="center"/>
          </w:tcPr>
          <w:p>
            <w:pPr>
              <w:rPr>
                <w:rFonts w:ascii="宋体" w:hAnsi="宋体" w:cs="宋体"/>
                <w:sz w:val="28"/>
                <w:szCs w:val="28"/>
              </w:rPr>
            </w:pPr>
            <w:r>
              <w:rPr>
                <w:rFonts w:hint="eastAsia" w:ascii="宋体" w:hAnsi="宋体" w:cs="宋体"/>
                <w:sz w:val="28"/>
                <w:szCs w:val="28"/>
              </w:rPr>
              <w:t>6万元/年</w:t>
            </w:r>
          </w:p>
        </w:tc>
      </w:tr>
    </w:tbl>
    <w:p>
      <w:pPr>
        <w:spacing w:line="360" w:lineRule="auto"/>
        <w:ind w:firstLine="2409" w:firstLineChars="1000"/>
        <w:outlineLvl w:val="1"/>
        <w:rPr>
          <w:rFonts w:ascii="宋体" w:hAnsi="宋体" w:cs="宋体"/>
          <w:b/>
          <w:bCs/>
          <w:sz w:val="24"/>
        </w:rPr>
      </w:pPr>
    </w:p>
    <w:p>
      <w:pPr>
        <w:spacing w:line="360" w:lineRule="auto"/>
        <w:outlineLvl w:val="1"/>
        <w:rPr>
          <w:rFonts w:ascii="宋体" w:hAnsi="宋体" w:cs="宋体"/>
          <w:sz w:val="24"/>
        </w:rPr>
      </w:pPr>
      <w:r>
        <w:rPr>
          <w:rFonts w:hint="eastAsia" w:ascii="宋体" w:hAnsi="宋体" w:cs="宋体"/>
          <w:b/>
          <w:bCs/>
          <w:sz w:val="24"/>
        </w:rPr>
        <w:t>2、全院医学装备清单</w:t>
      </w:r>
    </w:p>
    <w:tbl>
      <w:tblPr>
        <w:tblStyle w:val="33"/>
        <w:tblW w:w="8426" w:type="dxa"/>
        <w:tblInd w:w="96" w:type="dxa"/>
        <w:tblLayout w:type="fixed"/>
        <w:tblCellMar>
          <w:top w:w="0" w:type="dxa"/>
          <w:left w:w="108" w:type="dxa"/>
          <w:bottom w:w="0" w:type="dxa"/>
          <w:right w:w="108" w:type="dxa"/>
        </w:tblCellMar>
      </w:tblPr>
      <w:tblGrid>
        <w:gridCol w:w="1075"/>
        <w:gridCol w:w="696"/>
        <w:gridCol w:w="1680"/>
        <w:gridCol w:w="2148"/>
        <w:gridCol w:w="708"/>
        <w:gridCol w:w="816"/>
        <w:gridCol w:w="1303"/>
      </w:tblGrid>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科室</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编号</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规格型号</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装备时间</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三氧消毒机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SIG</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2007.10.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MP-8000型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病历架推车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除颤机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TEC-5521C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红外线治疗仪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中频治疗仪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T999-15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升降病床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MEC-2000型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无创呼吸机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BIPAPAHarmony</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污物车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00"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2NB-XK</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KL-602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简易呼吸器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成人型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电冰箱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赛亿142升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中频治疗仪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好万家</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双通道注射泵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JZB-1800D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输液泵（带架子）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JSB-1200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   （有创）</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 pm8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中心监护 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HYPERVISOR VI</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三层双抽</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空气压缩机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MC340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数字式心电图机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ZQ-1203G</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脉搏血氧仪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CMS50D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不锈钢护理车Ⅱ型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ABS急救车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双层带三抽治疗车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超声雾化机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402AI</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脑功能障碍治疗仪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YS7002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2018.5.24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全胸振荡排痰机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YSQ01C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体外冲击波碎石机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CS/2012A-D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床单元臭氧消毒机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LK-CXD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中频治疗仪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RH-ZP-D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双摇三折病床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YC-053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WATO6×50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腹腔镜摄像系统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WOIT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WATOEX-50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冷光子母无影灯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KL600Ⅱ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单臂旋转吊塔</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MODEL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机械手术床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3008D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腹腔镜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1088IHX8000（400L）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利普刀</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HF-120B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手术床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简易手术床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手术推车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MEC-2000型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电动手术床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XTD-1A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电动子宫切割控制器</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骨科电钻</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YDJZ-11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前列腺电刀</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PK729044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胆道镜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WOLF</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可视人流B超</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科美达KUI800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麻醉咽喉镜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难度插管喉镜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咽喉镜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单孔冷光源无影灯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JD04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医用恒温箱</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不锈钢仪器车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JD11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不锈钢污物车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JD29</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光纤喉镜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标配1＋3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JSB-1200(通用型）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JZB-1800D（双通道）</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Aeon-7500A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864"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麻醉机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欧美达GEDatex-0hmeda9300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终端插件监护仪（带支架）</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BeneView T5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高频电刀</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VTO-300S</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无影灯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XHD_f500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便携式彩色超声诊断系统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ACUSONP300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移动式C型臂射线机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cios alpha-阿尔法</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影像工作站</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cR-IMAGE-2011D</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高压注射器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Zenith-H15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心脏除颤仪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普美康XD100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科曼C50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铅衣</w:t>
            </w:r>
          </w:p>
        </w:tc>
        <w:tc>
          <w:tcPr>
            <w:tcW w:w="2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全电动手术介入床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西门子</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不锈钢仪器车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700*600*80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2016.7.19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不锈钢双层器械台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1100*600*800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2016.7.19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双层器械车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JD13 735*450*800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2016.7.19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不锈钢柜1</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900*400*1900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不锈钢柜2</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900*400*1900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不锈钢柜3</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1200*400*1900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器械操作台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1500*500*800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操作台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1200*600*800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监护仪架子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600*430*1600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YKX.J_Y_600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2016.8.22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咽喉镜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标配2.3.4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体外脉冲发生器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YKE201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电动手术床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LDS_2D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2016.12.28</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不锈钢器械台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1200*650*900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2017.2.27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双杠托盘架</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765*455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2017.2.27</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不锈钢器械台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1800*570*900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2017.6.12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LED内窥镜冷光源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JRL-II</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电动骨动力系统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JDXY-DGD-01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BeneVieWT5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电动人工流产吸引器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DFX-IV.c</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Sp7</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iewN12（含呼末）</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麻醉系统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Dabiusplus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病人推车</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RT-004（ABS）-10666</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医用转移车</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RT-004（ABS）-23333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高频电刀</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GV-2000AI</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手术室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医用内窥镜摄像系统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1488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病历架推车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人体骨架</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1.7米（真骨）</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MEC-1000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升降病床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双摇三折</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手术推车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CR病历夹推车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43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斯百瑞ST-30A/C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观片灯</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单联</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KGD-600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三道心电图机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ZQ-1203C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内热式针灸治疗仪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k40型</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不锈钢检查床</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CR19000*600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中药保健熏蒸仪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ZF-992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指甲式脉搏血氧仪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ZF-F11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智能关节康复器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XY-CPM-11B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TDP特定电磁波治疗仪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CQ-28D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电针仪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SDZ-Ⅱ型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温热中低频治疗仪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HL-Y6A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三层双抽</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TDP特定电磁波治疗仪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双头CQJ-24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2017.2.27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不锈钢护理车Ⅱ型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双层带三抽治疗车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电脑中频治疗仪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ECM99-IC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单通道注射泵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SP7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动态干扰电治疗仪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YSG02C-v</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电脑骨创伤治疗仪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YS4002-CD</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磁振热治疗仪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YS2002C</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骨伤科门诊</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电动牵引床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DQL-8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2008.11.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骨伤科门诊</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电动牵引椅</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GO-1A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2008.11.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骨伤科门诊</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电动牵引椅</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GO-1A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骨伤科门诊</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全不锈钢</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骨伤科门诊</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温热中频治疗仪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康本龙</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ABS双摇三折病床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2120*920*430mm带滑轮</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2018.6.11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多功能牵引系统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DPK-3A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电动颈椎牵引机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DFZ-2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电脑中频电疗机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MTZ-H</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红外治疗仪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Lirowave-WIRA750Pro</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床单元臭氧消毒机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LK-CXD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iMEC8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2021.4.30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动态干扰电治疗仪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YSG02C-V</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2021.4.30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全胸震荡排痰机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YSQC1C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2021.5.13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骨伤科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空气波压力循环治疗仪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LGT-2200S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TDP特定电磁波治疗仪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大头</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除颤机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TEC-5521C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升降病床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简易呼吸器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PVCI</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单通道注射泵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JZB-1800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中低频治疗仪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体外震动排痰机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NGZ-012A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气动雾化器</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无创呼吸机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BIPAPAHarmony</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KGD-600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5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三道心电图机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ZQ-1203C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双通道微量注射泵</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无创呼吸机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BiPAPS/T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单联观片灯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体外高频热疗机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HG-2000Ⅱ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2014.11.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指夹式脉搏血氧仪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ZF-F11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2015.2.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lang w:bidi="ar"/>
              </w:rPr>
              <w:t>超声雾化器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ZH-E11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2015.3.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呼吸机       （有创含台车）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Shangrila590P</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三层双抽</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动态血压监测仪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动态血压监测仪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动脉硬化检测仪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YD-XGYD-2000A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低中频电子脉冲治疗仪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HYS-339</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2016.11.25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不锈钢护理车Ⅱ型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ABS急救车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双层带三抽治疗车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全胸振荡排痰机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YSQ01C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空气压力循环治疗仪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YSK06C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2017.6.28</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脑功能障碍治疗仪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YS7002（雅思）</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2017.8.9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Stellar100</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Sp7</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iPM8（含有创+呼末二合一模块及监护仪架子2个）</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数字式六道心电图机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SE-601B</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Stellar100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2019.10.21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胰岛素泵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TruCarell</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胰岛素泵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TruCarell</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KL-8052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2020.3.9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床单元臭氧消毒机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LK-CXD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医用臭氧治疗仪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OZOMED Smarti型</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2020.12.10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ABS病床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2040*980*500带轮双轨</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Epm 10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2021.10.14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睡眠呼吸记录仪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ALice NightOne</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2021.10.14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无创呼吸机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BiPAP a30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2021.10.14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KL-8052N</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2021.10.14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呼气末二氧化碳监护仪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H6</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2021.10.14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心肺功能测试仪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PowerCube-STBD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2021.10.14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经颅多普勒检查仪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KJ-2V2U</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脑功能治疗仪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YS3002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KGD-1800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病床平板</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无创呼吸机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BIPAPAHarmony</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 检测仪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ABPM6100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43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呼吸机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斯百瑞ST-30A/C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中旗</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观片灯</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单联</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吸痰器</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血氧饱仪</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简易呼吸器</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冷藏柜</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星星</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电动吸引器</w:t>
            </w:r>
          </w:p>
        </w:tc>
        <w:tc>
          <w:tcPr>
            <w:tcW w:w="214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KGD-600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双摇三折病床</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TC-052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压缩雾化器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HZ-L11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不锈钢双抽治疗车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CR三层</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血氧仪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YX301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经络多普勒诊断系统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CVS-9000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三层双抽</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数码经络治疗仪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压缩雾化器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ZH-L11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双摇三折病床</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TC-052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静脉穿刺灯</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LK-LFZA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输液泵（带架子）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JSB-1200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便携式多参数监护仪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动态血压监测仪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双摇三折  病床</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TC-053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双相除颤  监护仪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电子针疗仪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华佗SDZ-Ⅱ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特定蛋白分析仪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PA8800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不锈钢病历架推车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2016.6.20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红外线偏振光治疗仪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LGT-3600A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2016.9.12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电子针疗仪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华佗牌SDZ-Ⅱ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低中频电子脉冲治疗仪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好人家HYS-339</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数字式多道心电图机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IMAC120中旗</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2017.4.7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医用臭氧治疗仪 </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ZAMT-100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空气压力循环治疗仪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YSK06C常州雅思</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双层带三抽治疗车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定制</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电动吸引器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DFX-23D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2018.5.28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医药臭氧治疗仪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Medozoncompact</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2018.7.5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双摇三折床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ABS,带轮子，配床垫，护栏，输液杆</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2018.8.10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iMEC8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26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VP7</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Sp7</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血液透析设备</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MDS-101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血液透析制水系统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WSL-R02/1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血液透析机、血液透析过滤装置</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710200T</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W-T2008-B</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全胸振荡排痰机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YSQ01C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电动吸引器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DFX-23D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YKX.J-Y-2500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YKX.J-B-800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ABS病床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2040*980*500带轮双摇床</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血液透析机、血液透析滤过装置</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DialogtonlineHDF 7102072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2019.7.19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血液透析机、血液透析滤过装置</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DialogtonlineHDF 7102072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KL-8052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2020.3.9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床单元臭氧消毒机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LK-CXD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双摇三折病床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ABS带轮子，配床垫，杂物架等</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2021.5.12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血液透析过滤装置</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NCU-18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2021.8.13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血栓科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脑功能（障碍）治疗仪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YS7002C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2021.8.31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电动洗胃机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急救箱</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除顫仪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TEC-5521C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病历推车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43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不锈钢平板</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简易呼吸器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PVCI</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铲式担架</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救护车用</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MEC-1000型</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简易呼吸器</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全自动洗胃机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BXW-2A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压缩雾化器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HZ-L11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不锈钢双抽治疗车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JD08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手术灯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冷光源5孔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氧气吸入器</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救护车氧气瓶</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4L（带流量表）</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吸引器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脚踏式</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数字式十二道心电图机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SE-1201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光纤喉镜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SURGECAL-MEDLCAL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中频电针  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ZP-100DIIA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ABS床头三折病床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2120*920*550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星星冷藏柜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LSC_218G</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VP7</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2017.10.30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 xml:space="preserve">Shangrila510S  </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除颤监护仪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BeneHeartD3</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高级人体气管插管模具</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ZH-J50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iMEC8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注射泵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Sp7</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担架</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RT-036L-6000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医用冷藏箱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HYC-310S海尔</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除颤仪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数字式十二道心电图机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SE 1201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病人推车</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RT-004(ABS)-10666</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有创呼吸机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SV300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2020.3.9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6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中心供氧</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吸引管导管10*1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米</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45</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氧气管8*1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米</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45</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氧气终端（国标）</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吸引终端（国标）</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房间维修阀TS-4</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设备带</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米</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人工费</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税金</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全自动洗胃机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QZD-B</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床单元臭氧消毒机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AJ/CDX-600(B4)</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除颤监护仪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BeneHeartD3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Shangrila510s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SV300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可视喉镜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E.An-ⅡLP</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心电图机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SE-1201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血气分析仪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i15</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移动YKX.J-Y-2500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自动心肺复苏仪（胸腔按压机）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MCC-E2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除颤监护仪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BeneHeartD3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心电图机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SE-1201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AⅡ6000A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吸引器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JX820D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门诊急诊科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YKX.J-B-800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角膜曲率仪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BURTON1014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DMAP-1000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KGD-1800B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微波治疗仪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KJ-6200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A超</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CAS-2000A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鼻窦镜器械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GD-501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鼻窦镜工作站</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2009.11.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超声乳化治疗仪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AMO-SOLEREIGN</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眼科手术显微镜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OM-90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眼底血管荧光造影仪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TRC.SODK</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眼底氩激光治疗仪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电脑视野仪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PUSH</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非接触眼压计</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CT-80A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裂隙灯显微镜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SC-1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裂隙灯前置镜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检眼镜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K18A1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病历推车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咽喉镜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P16</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视力表灯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BURTON1014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视力表灯</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便携式吸痰器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ZH-H11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三层双抽</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纤维鼻咽喉镜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ANF-5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中频电针  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ZP-100DIIA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医用汽枪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JS-CSO2A</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医用水枪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JS-CSO2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纤维鼻咽喉镜光源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LG150_2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清洗槽</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普通立脚型</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ABS急救车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6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五官科门诊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视力表灯</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2009.9.</w:t>
            </w:r>
          </w:p>
        </w:tc>
      </w:tr>
      <w:tr>
        <w:tblPrEx>
          <w:tblCellMar>
            <w:top w:w="0" w:type="dxa"/>
            <w:left w:w="108" w:type="dxa"/>
            <w:bottom w:w="0" w:type="dxa"/>
            <w:right w:w="108" w:type="dxa"/>
          </w:tblCellMar>
        </w:tblPrEx>
        <w:trPr>
          <w:trHeight w:val="40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五官科门诊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鼻窦内窥镜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2018.3.28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自动控制压力蒸汽灭菌器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GT-ZJ-B23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自动控制压力蒸汽灭菌器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CT-ZJ-A24</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电脑验光仪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RC-800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2019.7.5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眼科超声诊断仪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CAS-2000BER</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2019.7.5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电子鼻内窥镜图像处理系统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VEP-2800/LLS-2800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2019.7.5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手持裂隙灯</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SLM-6M</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2019.7.5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医用头灯</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LED充电灯</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紫外线空气消毒机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AJ/YXD-B-800(DL100)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床单元臭氧消毒机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AJ/CDX-600(B4)</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交警专用高拍仪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非接触眼压计（眼压计）</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FT-1000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2021.6.10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眼科手术台（电动手术台）</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JS-2032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2021.6.10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吸引切割器（手术动力系统）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GD1000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2021.6.10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五官科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非接触眼压计（眼压计）</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FT-1000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2021.6.10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KGZ-120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多功能牵引床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HX/QCD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儿童康复器械</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指夹脉搏血氧仪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MTO</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理疗床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经络数控牵引床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YZ-4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颈椎牵引椅</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YH-Ⅱ微电脑</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2011.6.</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人体骨架</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(全塑仿真）1.5M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椎间盘模型</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腰椎活动模型</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病历推车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2011.10.</w:t>
            </w:r>
          </w:p>
        </w:tc>
      </w:tr>
      <w:tr>
        <w:tblPrEx>
          <w:tblCellMar>
            <w:top w:w="0" w:type="dxa"/>
            <w:left w:w="108" w:type="dxa"/>
            <w:bottom w:w="0" w:type="dxa"/>
            <w:right w:w="108" w:type="dxa"/>
          </w:tblCellMar>
        </w:tblPrEx>
        <w:trPr>
          <w:trHeight w:val="76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病历推车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骨质疏松治疗仪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XT-2000B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空气波循环治疗仪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LGT-220-W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恒温蜡疗治疗仪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XYL-Ⅲ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腰椎间盘复位机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YFJDC01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超声波治疗仪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PHUYSIOSON-Expe</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多功能牵引床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YHZ-V2003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中药粉粹机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骨科牵引床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CR-JC06</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不锈钢双抽治疗车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CR双层</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双摇三折病床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YC-053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膏药一体成型机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氧气瓶推车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中药熏蒸治疗仪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HYZⅢH</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三层双抽690*440*800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电动起立床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XYQ-1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PT床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XY-71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PT凳</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XY-81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MEC-1000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大头CQJ-25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双头CQJ-24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指甲式脉搏血氧仪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YX301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不锈钢病历架推车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60位</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2016.6.20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中低频电子脉冲治疗仪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HYS-339</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脑功能治疗仪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YS7002C（雅思）</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颈腰椎综合治疗仪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RDZ-a-03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多体位手法床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SCS-9段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2017.5.12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观灯片</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观灯片</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不锈钢护理车Ⅱ型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ABS急救车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JJ-JD3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电脑中频治疗仪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ECM99-IC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2018.5.28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PT训练床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JY-PTC-1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2018.5.28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儿童多功能站立床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JYE-ZLC-A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2018.5.28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儿童下肢功率车</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JYE-GLC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2018.5.28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温针电针综合治疗仪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HT-2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2019.4.214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内热式针灸治疗仪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K型</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吞咽神经和肌肉电刺激仪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YS1002C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2020.10.15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脑电仿生电刺激仪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YS5002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2020.10.15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全自动恒温蜡疗机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QL/P-XVA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2020.12.10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床旁式主被动康复训练器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LGT-5100L</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2021.7.19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上下肢主被动康复训练器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LGT-510OD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2021.7.19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手功能综合训练桌</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HB-SGN3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2021.7.19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体外冲击波治疗仪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SWISSDOLORCLASTsmart20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2021.7.19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针康科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经络导平治疗仪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ZDZ-3型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红外光治疗仪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BPM-8型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干燥机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DZF-6020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380L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双门电冰箱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美的BCD-235CMA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中药粉碎机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SF-130C</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治未病三楼</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针灸人体模型</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178cm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2016.4</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动脉硬化检测仪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YD-XGYD-2000A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治未病中心</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彩色多功能一体机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HPMFPM377DW</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2016.12.28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治未病</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星星冰柜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BD/BC-302A</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2017.6.9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全自动生化分析仪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OLYMPUSAU-400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全自动化学发光免疫分析仪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Access2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细菌鉴定药敏分析仪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ATBFXPYG</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368L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350L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免疫微柱呼育器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FY</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奥林巴斯显微镜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CX3I</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低温冷藏箱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BW406188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生物安全柜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HR4011-2A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KDSJ-Y-100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血液保存箱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HXL-158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电热恒温水箱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HSWX-600B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操作台</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UPS电源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C3K</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智能型光照培养箱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APX-250-GB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UPS电源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C3K</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血小板震荡保存箱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SJW-1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医用离心机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LC-04S</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血液运输箱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LCX-12L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LSC-510D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2017.9.28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冰冻血浆解冻箱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JXH-303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低速离心机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TD-5M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2018.7.13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海尔冰箱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192升BCD-192TMPL</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2018.12.18</w:t>
            </w:r>
          </w:p>
        </w:tc>
      </w:tr>
      <w:tr>
        <w:tblPrEx>
          <w:tblCellMar>
            <w:top w:w="0" w:type="dxa"/>
            <w:left w:w="108" w:type="dxa"/>
            <w:bottom w:w="0" w:type="dxa"/>
            <w:right w:w="108" w:type="dxa"/>
          </w:tblCellMar>
        </w:tblPrEx>
        <w:trPr>
          <w:trHeight w:val="540"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生物安全柜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HFsafe900LC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二氧化碳培养箱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HF212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立式压力蒸汽灭菌器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LDZM-60KCCS-2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2020.11.19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快速实时荧光定量PCR分析仪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AGS830-16</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-20度医用冰箱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DW-25L92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-86度医用冰箱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DW-86L338J</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恒温孵育器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FYL-YS-151L</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立式灭菌器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BKQ-B75Ⅱ</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冷藏冰箱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HYC-198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全自动旋转式核酸提取仪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GeneRotex96</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生物安全柜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BSC-1500ⅡA2-X</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医用洁净工作台</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BBS-SDC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全自动医用PCR分析系统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Gentier96E</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组合式空气净化处理机组</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全自动核酸提取仪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GencRotcx96</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2021.12.17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全自动医用PCR分析系统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Gentier96E</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2021.12.17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检验科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全自动医用PCR分析系统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Gentier96E</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2022.4.8</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DR机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BigitalDiagnost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双联观片灯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三联液晶观片灯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DL-1100H</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吸尘器</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艺卓专用显示器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EIZO3mGX320-CL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医用X射线摄像系统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新东方1000S</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2016.9.12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数字化X射线系统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DTP570  DR</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2020.4.7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YKX.J-Y-1200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2020.4.7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方舱CT（X射线计算机体层摄影设备）</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NeuViz 64 Ⅰn</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X射线计算机体层摄影系统设备</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OptimaCT620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2021.8.31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放射科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高压注射器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OptiVantage</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2021.8.31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激光彩色打印机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PPCP2025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耦合剂加温仪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吸尘器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数字彩色超声波诊断仪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阿洛卡Prosund.a6 </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激光彩色打印机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HP351</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多普勒超声诊断仪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迈瑞DC-3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2016.4.26</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彩色多普勒超声诊断仪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三星麦迪逊ACCUVIXA30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2016.9.12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腹部三维探头</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CV1-8A</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把</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2017.11.21</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超声骨密度仪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SONOST-3000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经颅多普勒检测仪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KJ-2V2U</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数字式心电图机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ZQ-12 12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动脉硬化检测仪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VBP-9</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脑电监护分析仪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ZN7A00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标配MTC-12H-3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UPS电源</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C3K</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2014.9.</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动态血压测量及分析系统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2014.12.</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动态血压测量及分析系统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动态心电监护仪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MIC-12H-3S</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动态心电图系统</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MIC-12H-3S</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2017.12.21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2018.1.19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肺功能测试仪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FGC-A+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数字式十八导心电图机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SE-18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数字式彩色多普勒超声诊断系统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Apogee1000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彩色多普勒超声系统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Resona8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YKX.J-B-800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2019.3.22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冰箱</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BCD-160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多功能电动病床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RD-YE3005</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2020.3.27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动态心电图系统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MTC-12H-3G</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2020.3.27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彩色超声诊断仪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LOGIQP9</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2020.8.19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动态血压测量仪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ABPM-05</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2020.11.19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彩色超声诊断系统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EPIQ7飞利浦</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彩色多普勒超声系统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DC-90EXP</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2021.8.31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彩超输卵管造影软件包</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2022.6.14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彩超腹部介入穿刺探头(包含iNeedle穿刺增强显示)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C6-2GU</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2022.6.14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电动人流吸引器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XLX-13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2004.10.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激光治疗机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JC40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妇科器械台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妇科检查床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A37</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数码电子阴道镜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JH-5004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650*450*860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2016.12.22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冷光源单孔手术灯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ID型</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妇科检查床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中号</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2016.6.20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胎心多普勒仪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SD3理邦</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盆底生物刺激反馈仪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AS-A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盆底生物刺激反馈仪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AS-B</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妇科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肛肠科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肛肠科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肛肠综合治疗仪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22-Ⅱ.500B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肛肠科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超声雾化清洗仪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PC-200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肛肠科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不锈钢检查床</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A37</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KGD-1800B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多功能空气消毒机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压模成型机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石膏打磨机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喷砂枪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TDP-Ⅱ</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高速气涡轮手枪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高速气涡轮手枪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高速气涡轮手机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Pana-Max2 M4</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支</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2018.7.19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高速气涡轮手机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TI-MAX X450QD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支</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2018.7.19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根管预备设备</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EX-SMARTPlus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根尖定位仪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PROPEX</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2019.11.4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牙科综合治疗机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AL-398AA-1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2020.5.13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口腔科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电离子治疗仪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GL10LⅢD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微晶磨面机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mdy-Ⅰ</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仪器推车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冷光放大灯</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超声波导入仪</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619型</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2018.4.2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单头冷喷机</w:t>
            </w:r>
          </w:p>
        </w:tc>
        <w:tc>
          <w:tcPr>
            <w:tcW w:w="214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DT328</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2018.4.2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双头冷热喷</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6683</w:t>
            </w:r>
          </w:p>
        </w:tc>
        <w:tc>
          <w:tcPr>
            <w:tcW w:w="70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2018.4.2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二氧化碳激光治疗机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kl型</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2022.2.11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皮肤科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西药库房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针式打印机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EPSON300K</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西药库房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星星528升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中药房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Haier</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西药房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星星218升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西药房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西药房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冷藏展示柜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煎药室</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煎药机</w:t>
            </w:r>
          </w:p>
        </w:tc>
        <w:tc>
          <w:tcPr>
            <w:tcW w:w="214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MS Sans Serif" w:hAnsi="MS Sans Serif" w:eastAsia="MS Sans Serif" w:cs="MS Sans Serif"/>
                <w:color w:val="000000"/>
                <w:sz w:val="22"/>
                <w:szCs w:val="22"/>
              </w:rPr>
            </w:pPr>
            <w:r>
              <w:rPr>
                <w:rFonts w:ascii="MS Sans Serif" w:hAnsi="MS Sans Serif" w:eastAsia="MS Sans Serif" w:cs="MS Sans Serif"/>
                <w:color w:val="000000"/>
                <w:kern w:val="0"/>
                <w:sz w:val="22"/>
                <w:szCs w:val="22"/>
                <w:lang w:bidi="ar"/>
              </w:rPr>
              <w:t>YJ20/3+1-L</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2019.6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煎药室</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煎药机</w:t>
            </w:r>
          </w:p>
        </w:tc>
        <w:tc>
          <w:tcPr>
            <w:tcW w:w="214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left"/>
              <w:textAlignment w:val="bottom"/>
              <w:rPr>
                <w:rFonts w:ascii="MS Sans Serif" w:hAnsi="MS Sans Serif" w:eastAsia="MS Sans Serif" w:cs="MS Sans Serif"/>
                <w:color w:val="000000"/>
                <w:sz w:val="22"/>
                <w:szCs w:val="22"/>
              </w:rPr>
            </w:pPr>
            <w:r>
              <w:rPr>
                <w:rFonts w:ascii="MS Sans Serif" w:hAnsi="MS Sans Serif" w:eastAsia="MS Sans Serif" w:cs="MS Sans Serif"/>
                <w:color w:val="000000"/>
                <w:kern w:val="0"/>
                <w:sz w:val="22"/>
                <w:szCs w:val="22"/>
                <w:lang w:bidi="ar"/>
              </w:rPr>
              <w:t>YJ20/3+1-L</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2020.3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煎药室</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煎药机</w:t>
            </w:r>
          </w:p>
        </w:tc>
        <w:tc>
          <w:tcPr>
            <w:tcW w:w="2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分院西药房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病理切片机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CEGARM2015</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1998.12.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离心机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YLX-200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病理取材台</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JQCT-1500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切片柜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515*480*3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蜡块柜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515*480*3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腊块柜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515*480*15</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2018.10.8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石蜡包埋机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YB-7LF</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病理科</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组织脱水机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ZT-12P2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结肠透析机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JS-308F</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消化内镜工作站</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VI0200D</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内镜清洗工作站</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DE-860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2017.6.15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全自动内镜清洗消毒机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DE-660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2017.6.15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病人推车</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RH/BRTOS-B1900*590*780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高清电子胃肠镜系统</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奥林巴斯CV-290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2019.12.17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内窥镜清洗纯水设备</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CJ-RON-200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内镜储存柜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TT/NJG</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2020.6.12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胃镜室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KGD-1800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空气压缩机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蒸汽灭菌器</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YXQ-WF32A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无菌推车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CR</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高压气水枪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2011.6.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光学放大镜</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20倍夹台式</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医用水枪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医用气枪</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医用无油空压机</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封口机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EF100-L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电热恒温鼓风干燥箱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DHG-9620A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2013.6.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医用超声波清洗机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mmcs-s600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消毒干燥箱</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DHG-9620A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2014.10.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YKX.J_Y_600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2016.8.22</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快速生物阅读器</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K-S-0301-S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医用超声波清洗机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MMCS-S1200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2021.9.9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医用高压气枪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MMYCQ-B</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2021.9.1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医用封口机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MMPK-80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2021.9.9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供应室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医用煮沸槽</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MMCS-S1200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2021.9.9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发热门诊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K800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2008.8.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发热门诊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治疗车</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发热门诊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平板病床</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发热门诊</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YKX.J-B-600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2021.3.11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门诊部</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手动轮椅</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SY424A</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2016.7.25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名医堂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21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2010.5.</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残联康复中心</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TDP特定电磁波治疗仪烤灯</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CQ-36（双头）</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2017.11.3</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残联康复中心</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电子秤</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RCS-200.816</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2017.11.3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洗浆房</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医用空气压缩机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BF-12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2004.10.</w:t>
            </w:r>
          </w:p>
        </w:tc>
      </w:tr>
      <w:tr>
        <w:tblPrEx>
          <w:tblCellMar>
            <w:top w:w="0" w:type="dxa"/>
            <w:left w:w="108" w:type="dxa"/>
            <w:bottom w:w="0" w:type="dxa"/>
            <w:right w:w="108" w:type="dxa"/>
          </w:tblCellMar>
        </w:tblPrEx>
        <w:trPr>
          <w:trHeight w:val="864"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分院门诊预防接种室</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空气消毒机</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KYX.J-Y-600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2014.9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医改办</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空气波压力循环治疗仪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LGT-2200S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医改办</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中频治疗仪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RH-ZP-D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2021.12.27</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分院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中心供氧系统</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YY/T0187-94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2012.5.</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ipM8</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2017.10.30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iPM8（含有创+呼末二合一模块及监护仪架子2个）</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2018.9.4</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SV300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Shangrila510s</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2019.5.30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YKX.J-Y-2500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YKX.J-Y-600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医用空气消毒机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YKX.J-B-800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2019.9.3</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营养泵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KL-5021A</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微量注射泵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KL-702</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除颤仪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D3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气垫床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Procare-Z</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喉镜</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1.2.3</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输液泵</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ZNB-XK</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10</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床单元消毒机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LK-CXD</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15</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全胸振荡排痰机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YSQ01c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16</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医用电脑温控仪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RC-2000111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2019.9.29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17</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手摇升降病床</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A-009</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8</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2019.10.11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18</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心电图机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SE-1201</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2019.10.11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19</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空气波压力治疗仪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YSK06C</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2019.10.11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iewN12(含呼末)</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2019.10.21</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21</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血气分析仪</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EpocReader</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2019.12.26</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22</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有创呼吸机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SV300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2020.3.9</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23</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高级自动电脑心肺复苏模拟人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BIX/CPR490</w:t>
            </w: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个</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2021.12.28</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ICU</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24</w:t>
            </w:r>
          </w:p>
        </w:tc>
        <w:tc>
          <w:tcPr>
            <w:tcW w:w="1680"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消毒机</w:t>
            </w:r>
          </w:p>
        </w:tc>
        <w:tc>
          <w:tcPr>
            <w:tcW w:w="2148"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noWrap/>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lang w:bidi="ar"/>
              </w:rPr>
              <w:t>2022.12.20</w:t>
            </w:r>
          </w:p>
        </w:tc>
      </w:tr>
      <w:tr>
        <w:tblPrEx>
          <w:tblCellMar>
            <w:top w:w="0" w:type="dxa"/>
            <w:left w:w="108" w:type="dxa"/>
            <w:bottom w:w="0" w:type="dxa"/>
            <w:right w:w="108" w:type="dxa"/>
          </w:tblCellMar>
        </w:tblPrEx>
        <w:trPr>
          <w:trHeight w:val="312"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26</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病人监护仪</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iPM8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2017.10.</w:t>
            </w:r>
          </w:p>
        </w:tc>
      </w:tr>
      <w:tr>
        <w:tblPrEx>
          <w:tblCellMar>
            <w:top w:w="0" w:type="dxa"/>
            <w:left w:w="108" w:type="dxa"/>
            <w:bottom w:w="0" w:type="dxa"/>
            <w:right w:w="108" w:type="dxa"/>
          </w:tblCellMar>
        </w:tblPrEx>
        <w:trPr>
          <w:trHeight w:val="576" w:hRule="atLeast"/>
        </w:trPr>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外科</w:t>
            </w:r>
          </w:p>
        </w:tc>
        <w:tc>
          <w:tcPr>
            <w:tcW w:w="696"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27</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呼吸机       （有创含台车）</w:t>
            </w:r>
          </w:p>
        </w:tc>
        <w:tc>
          <w:tcPr>
            <w:tcW w:w="214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Shangrila590P</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2015.4.</w:t>
            </w:r>
          </w:p>
        </w:tc>
      </w:tr>
    </w:tbl>
    <w:p>
      <w:pPr>
        <w:spacing w:line="360" w:lineRule="auto"/>
        <w:outlineLvl w:val="1"/>
        <w:rPr>
          <w:rFonts w:ascii="宋体" w:hAnsi="宋体" w:cs="宋体"/>
          <w:b/>
          <w:bCs/>
          <w:sz w:val="24"/>
        </w:rPr>
      </w:pPr>
    </w:p>
    <w:p>
      <w:pPr>
        <w:spacing w:after="120" w:line="360" w:lineRule="auto"/>
        <w:rPr>
          <w:rFonts w:ascii="宋体" w:hAnsi="宋体" w:cs="宋体"/>
          <w:sz w:val="24"/>
        </w:rPr>
      </w:pPr>
      <w:r>
        <w:rPr>
          <w:rFonts w:hint="eastAsia" w:ascii="宋体" w:hAnsi="宋体" w:cs="宋体"/>
          <w:b/>
          <w:bCs/>
          <w:sz w:val="24"/>
        </w:rPr>
        <w:t>注：上述所有设备清单供应商成交后由采购人提供设备详细的规格型号。</w:t>
      </w:r>
    </w:p>
    <w:p>
      <w:pPr>
        <w:spacing w:line="360" w:lineRule="auto"/>
        <w:outlineLvl w:val="1"/>
        <w:rPr>
          <w:rFonts w:ascii="宋体" w:hAnsi="宋体" w:cs="宋体"/>
          <w:sz w:val="24"/>
        </w:rPr>
      </w:pPr>
      <w:r>
        <w:rPr>
          <w:rFonts w:hint="eastAsia" w:ascii="宋体" w:hAnsi="宋体" w:cs="宋体"/>
          <w:b/>
          <w:sz w:val="24"/>
        </w:rPr>
        <w:t>（二）全院医学装备技术保服务要求</w:t>
      </w:r>
    </w:p>
    <w:p>
      <w:pPr>
        <w:spacing w:line="360" w:lineRule="auto"/>
        <w:ind w:firstLine="196" w:firstLineChars="82"/>
        <w:jc w:val="left"/>
        <w:rPr>
          <w:rFonts w:ascii="宋体" w:hAnsi="宋体" w:cs="宋体"/>
          <w:sz w:val="24"/>
        </w:rPr>
      </w:pPr>
      <w:r>
        <w:rPr>
          <w:rFonts w:hint="eastAsia" w:ascii="宋体" w:hAnsi="宋体" w:cs="宋体"/>
          <w:sz w:val="24"/>
        </w:rPr>
        <w:t>1.费用范围： 所有人工、差旅等费用；预防性保养人工费用；配合医院达标所进行的相关工作；此维保的费用包含在服务期限内全院所有的心电图机、监护仪、血压计、动态血压的相关附件（附件包含导联线、袖带、指脉氧）；在维修、维护中所产生的配件费用由医院与供应商协商并达成一致后额外支付给供应商。</w:t>
      </w:r>
    </w:p>
    <w:p>
      <w:pPr>
        <w:spacing w:line="360" w:lineRule="auto"/>
        <w:ind w:firstLine="196" w:firstLineChars="82"/>
        <w:jc w:val="left"/>
        <w:rPr>
          <w:rFonts w:ascii="宋体" w:hAnsi="宋体" w:cs="宋体"/>
          <w:sz w:val="24"/>
        </w:rPr>
      </w:pPr>
      <w:r>
        <w:rPr>
          <w:rFonts w:hint="eastAsia" w:ascii="宋体" w:hAnsi="宋体" w:cs="宋体"/>
          <w:sz w:val="24"/>
        </w:rPr>
        <w:t>▲2.由供应商委派驻场工程师（至少1名）进行设备维护维修及院内协调工作：驻场工程师针对故障设备≤5分钟内电话响应，20分钟内到达故障设备现场排查故障；</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3.服务要求：服务期内，对我院所有医疗设备进行以下服务，包括：（1）预防性保养；（2）所有硬件、软件保修；（3）现场维修服务；（4）设备操作、应用服务及科室操作人员培训；（5）安全检查；（6）质量保证；（7）系统升级。维保服务所产生的维修人员人工费、差旅费等费用由供应商自行承担。</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4.预防性保养要求：每年≥ 2次</w:t>
      </w:r>
    </w:p>
    <w:p>
      <w:pPr>
        <w:spacing w:line="360" w:lineRule="auto"/>
        <w:ind w:firstLine="196" w:firstLineChars="82"/>
        <w:jc w:val="left"/>
        <w:rPr>
          <w:rFonts w:ascii="宋体" w:hAnsi="宋体" w:cs="宋体"/>
          <w:sz w:val="24"/>
        </w:rPr>
      </w:pPr>
      <w:r>
        <w:rPr>
          <w:rFonts w:hint="eastAsia" w:ascii="宋体" w:hAnsi="宋体" w:cs="宋体"/>
          <w:sz w:val="24"/>
        </w:rPr>
        <w:t>（1）记录并安排保养时间；（2）根据保养计划更换损耗部件；（3）硬件、软件检测；（4）调整校准至正常使用标准；（5）确认各项技术指标及性能；（6）记录设备状况；（8）设备除尘保养。</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5.开机率≥95%（一年按365天计算），少工作1天维保期顺延2天。</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6.提供配合医院医学装备管理所需的医学装备管理软件一套。</w:t>
      </w:r>
    </w:p>
    <w:p>
      <w:pPr>
        <w:spacing w:line="360" w:lineRule="auto"/>
        <w:ind w:firstLine="196" w:firstLineChars="82"/>
        <w:jc w:val="left"/>
        <w:rPr>
          <w:rFonts w:ascii="宋体" w:hAnsi="宋体" w:cs="宋体"/>
          <w:sz w:val="24"/>
        </w:rPr>
      </w:pPr>
      <w:r>
        <w:rPr>
          <w:rFonts w:hint="eastAsia" w:ascii="宋体" w:hAnsi="宋体" w:cs="宋体"/>
          <w:sz w:val="24"/>
        </w:rPr>
        <w:t>功能包含但不限于设备资产管理、设备报修（采用二维码扫码保修的形式）、设备在临床使用情况、设备维修记录等（需提供软件截图、说明书等佐证材料）。</w:t>
      </w:r>
    </w:p>
    <w:p>
      <w:pPr>
        <w:spacing w:line="360" w:lineRule="auto"/>
        <w:ind w:firstLine="196" w:firstLineChars="82"/>
        <w:jc w:val="left"/>
        <w:rPr>
          <w:rFonts w:ascii="宋体" w:hAnsi="宋体" w:cs="宋体"/>
          <w:sz w:val="24"/>
        </w:rPr>
      </w:pPr>
      <w:r>
        <w:rPr>
          <w:rFonts w:hint="eastAsia" w:ascii="宋体" w:hAnsi="宋体" w:cs="宋体"/>
          <w:sz w:val="24"/>
        </w:rPr>
        <w:t>7.为保证维修、维护及时性，要求投标人为项目所在地省份注册公司或在有工商登记的办事处（需提供相应材料证明），并且投标人在四川地区设立有备件库（提供备件库图片）。</w:t>
      </w:r>
    </w:p>
    <w:p>
      <w:pPr>
        <w:spacing w:line="360" w:lineRule="auto"/>
        <w:ind w:firstLine="196" w:firstLineChars="82"/>
        <w:jc w:val="left"/>
        <w:rPr>
          <w:rFonts w:ascii="宋体" w:hAnsi="宋体" w:cs="宋体"/>
          <w:sz w:val="24"/>
        </w:rPr>
      </w:pPr>
      <w:r>
        <w:rPr>
          <w:rFonts w:hint="eastAsia" w:ascii="宋体" w:hAnsi="宋体" w:cs="宋体"/>
          <w:sz w:val="24"/>
        </w:rPr>
        <w:t>▲8.为保证投标人在日常高频率的技术保服务中的维修、维护专业性能力，要求投标人提供监护类设备的任一品牌服务授权。</w:t>
      </w:r>
    </w:p>
    <w:p>
      <w:pPr>
        <w:spacing w:line="360" w:lineRule="auto"/>
        <w:ind w:firstLine="196" w:firstLineChars="82"/>
        <w:jc w:val="left"/>
        <w:rPr>
          <w:rFonts w:ascii="宋体" w:hAnsi="宋体" w:cs="宋体"/>
          <w:sz w:val="24"/>
        </w:rPr>
      </w:pPr>
      <w:r>
        <w:rPr>
          <w:rFonts w:hint="eastAsia" w:ascii="宋体" w:hAnsi="宋体" w:cs="宋体"/>
          <w:sz w:val="24"/>
        </w:rPr>
        <w:t>▲9.为保证部分设备的配件供应，投标人需提供《全院医学装备清单》中监护类设备的任一授权厂家出具的售后服务承诺函（提供售后服务承诺函原件并加盖厂家鲜章）。</w:t>
      </w:r>
    </w:p>
    <w:p>
      <w:pPr>
        <w:spacing w:line="360" w:lineRule="auto"/>
        <w:ind w:firstLine="196" w:firstLineChars="82"/>
        <w:jc w:val="left"/>
        <w:rPr>
          <w:rFonts w:ascii="宋体" w:hAnsi="宋体" w:cs="宋体"/>
          <w:sz w:val="24"/>
        </w:rPr>
      </w:pPr>
      <w:r>
        <w:rPr>
          <w:rFonts w:hint="eastAsia" w:ascii="宋体" w:hAnsi="宋体" w:cs="宋体"/>
          <w:sz w:val="24"/>
        </w:rPr>
        <w:t>▲10.投标人或设备授权厂家拥有ISO9001、ISO13485、ISO14001、ISO45001、ISO/IEC17025认证，并提供相应证书。</w:t>
      </w:r>
    </w:p>
    <w:p>
      <w:pPr>
        <w:spacing w:line="360" w:lineRule="auto"/>
        <w:ind w:firstLine="196" w:firstLineChars="82"/>
        <w:jc w:val="left"/>
        <w:rPr>
          <w:rFonts w:ascii="宋体" w:hAnsi="宋体" w:cs="宋体"/>
          <w:sz w:val="24"/>
        </w:rPr>
      </w:pPr>
      <w:r>
        <w:rPr>
          <w:rFonts w:hint="eastAsia" w:ascii="宋体" w:hAnsi="宋体" w:cs="宋体"/>
          <w:sz w:val="24"/>
        </w:rPr>
        <w:t>11.投标人更换的所有配件必须与相应医疗设备匹配。如果采购人提出质量不达标准时必须立即更换到能够正常使用为止。</w:t>
      </w:r>
    </w:p>
    <w:p>
      <w:pPr>
        <w:spacing w:line="360" w:lineRule="auto"/>
        <w:ind w:firstLine="196" w:firstLineChars="82"/>
        <w:jc w:val="left"/>
        <w:rPr>
          <w:rFonts w:ascii="宋体" w:hAnsi="宋体" w:cs="宋体"/>
          <w:sz w:val="24"/>
        </w:rPr>
      </w:pPr>
      <w:r>
        <w:rPr>
          <w:rFonts w:hint="eastAsia" w:ascii="宋体" w:hAnsi="宋体" w:cs="宋体"/>
          <w:sz w:val="24"/>
        </w:rPr>
        <w:t>▲12.提供一套视新电子内窥镜作为备用。</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13.每次服务完成后，必须填写详细服务记录，由设备使用部门签字确认并交采购人相关部门存档。</w:t>
      </w:r>
      <w:bookmarkStart w:id="77" w:name="_Toc24677"/>
      <w:bookmarkStart w:id="78" w:name="_Toc22045"/>
    </w:p>
    <w:p>
      <w:pPr>
        <w:spacing w:line="360" w:lineRule="auto"/>
        <w:ind w:firstLine="196" w:firstLineChars="82"/>
        <w:jc w:val="left"/>
        <w:rPr>
          <w:rFonts w:ascii="宋体" w:hAnsi="宋体" w:cs="宋体"/>
          <w:sz w:val="24"/>
        </w:rPr>
      </w:pPr>
      <w:r>
        <w:rPr>
          <w:rFonts w:hint="eastAsia" w:ascii="宋体" w:hAnsi="宋体" w:cs="宋体"/>
          <w:sz w:val="24"/>
        </w:rPr>
        <w:t>▲14.三甲医院设备管理支持：投标人或重点设备授权厂家配合医院进行三甲医院达标复审所进行的设备标准化档案管理；至少一个为投标人提供授权的重点设备授权厂家必须配备具有内审员资格的相应工程师（提供ISO9001&amp;ISO13485内审员培训证书、ISO15189内审员培训证书、国家中级质量工程师资格证书），并提供相应工程师的在职证明。在供应商配合医院进行三甲达标复审设备标准化档案管理的过程中产生的费用由供应商自行承担。</w:t>
      </w:r>
    </w:p>
    <w:p>
      <w:pPr>
        <w:spacing w:line="360" w:lineRule="auto"/>
        <w:ind w:firstLine="196" w:firstLineChars="82"/>
        <w:jc w:val="left"/>
        <w:rPr>
          <w:rFonts w:ascii="宋体" w:hAnsi="宋体" w:cs="宋体"/>
          <w:sz w:val="24"/>
        </w:rPr>
      </w:pPr>
      <w:bookmarkStart w:id="79" w:name="_Hlk151024116"/>
      <w:r>
        <w:rPr>
          <w:rFonts w:hint="eastAsia" w:ascii="宋体" w:hAnsi="宋体" w:cs="宋体"/>
          <w:sz w:val="24"/>
        </w:rPr>
        <w:t>15.投标人需提供重点类别设备（超声类、放射类、生命支持类）的维护维保方案。</w:t>
      </w:r>
    </w:p>
    <w:bookmarkEnd w:id="77"/>
    <w:bookmarkEnd w:id="78"/>
    <w:bookmarkEnd w:id="79"/>
    <w:p>
      <w:pPr>
        <w:tabs>
          <w:tab w:val="left" w:pos="241"/>
        </w:tabs>
        <w:spacing w:line="360" w:lineRule="auto"/>
        <w:ind w:left="325" w:leftChars="101" w:hanging="113" w:hangingChars="47"/>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三、商务要求</w:t>
      </w:r>
    </w:p>
    <w:p>
      <w:pPr>
        <w:spacing w:line="360" w:lineRule="auto"/>
        <w:ind w:firstLine="196" w:firstLineChars="82"/>
        <w:jc w:val="left"/>
        <w:rPr>
          <w:rFonts w:ascii="宋体" w:hAnsi="宋体" w:cs="宋体"/>
          <w:sz w:val="24"/>
        </w:rPr>
      </w:pPr>
      <w:r>
        <w:rPr>
          <w:rFonts w:hint="eastAsia" w:ascii="宋体" w:hAnsi="宋体" w:cs="宋体"/>
          <w:sz w:val="24"/>
        </w:rPr>
        <w:t>（一）付款方式：按年支付；合同签订的时间为技术保开始时间，成交供应商应在每年技术保开始时间后开具当年技术保的全额发票；采购人收到成交供应商出具有效的税务发票后10个工作日内支付当年维保费用的100%。</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（二）服务期限：签订合同后的3年，考核合格后续签下一年度服务合同。</w:t>
      </w:r>
    </w:p>
    <w:p>
      <w:pPr>
        <w:spacing w:line="360" w:lineRule="auto"/>
        <w:ind w:firstLine="196" w:firstLineChars="82"/>
        <w:rPr>
          <w:rFonts w:ascii="宋体" w:hAnsi="宋体" w:cs="宋体"/>
          <w:sz w:val="24"/>
        </w:rPr>
      </w:pPr>
      <w:r>
        <w:rPr>
          <w:rFonts w:hint="eastAsia" w:ascii="宋体" w:hAnsi="宋体" w:cs="宋体"/>
          <w:sz w:val="24"/>
        </w:rPr>
        <w:t>（三）服务地点：由采购人指定。</w:t>
      </w:r>
    </w:p>
    <w:p>
      <w:pPr>
        <w:spacing w:line="360" w:lineRule="auto"/>
        <w:ind w:firstLine="240" w:firstLineChars="100"/>
        <w:rPr>
          <w:rFonts w:ascii="宋体" w:hAnsi="宋体" w:cs="宋体"/>
          <w:sz w:val="24"/>
        </w:rPr>
      </w:pPr>
      <w:r>
        <w:rPr>
          <w:rFonts w:hint="eastAsia" w:ascii="宋体" w:hAnsi="宋体" w:cs="宋体"/>
          <w:sz w:val="24"/>
        </w:rPr>
        <w:t>（四）所有技术保设备由成交供应商提供维保设备的维修、维护配件，医院与成交供应商在后期配件价格上达成一致后支付配件费用。</w:t>
      </w:r>
    </w:p>
    <w:p>
      <w:pPr>
        <w:spacing w:line="360" w:lineRule="auto"/>
        <w:ind w:firstLine="196" w:firstLineChars="82"/>
        <w:rPr>
          <w:rFonts w:ascii="宋体" w:hAnsi="宋体" w:cs="宋体"/>
          <w:sz w:val="24"/>
        </w:rPr>
      </w:pPr>
      <w:r>
        <w:rPr>
          <w:rFonts w:hint="eastAsia" w:ascii="宋体" w:hAnsi="宋体" w:cs="宋体"/>
          <w:sz w:val="24"/>
        </w:rPr>
        <w:t>（五）报价要求：本次报价应是最终用户验收合格后的报价，包括服务全过程（产品价格、运输费、卸货费、安装费等完成本项目所需的一切费用）和采购文件规定的其它全部费用。除采购文件规定需另外支付的其他费用，采购人不再支付其他费用。</w:t>
      </w:r>
    </w:p>
    <w:p>
      <w:pPr>
        <w:spacing w:line="360" w:lineRule="auto"/>
        <w:ind w:firstLine="196" w:firstLineChars="82"/>
        <w:rPr>
          <w:rFonts w:ascii="宋体" w:hAnsi="宋体" w:cs="宋体"/>
          <w:bCs/>
          <w:sz w:val="24"/>
        </w:rPr>
      </w:pPr>
      <w:r>
        <w:rPr>
          <w:rFonts w:hint="eastAsia" w:ascii="宋体" w:hAnsi="宋体" w:cs="宋体"/>
          <w:sz w:val="24"/>
        </w:rPr>
        <w:t>（六）验收方法和标准：本项目采购人将严格按照政</w:t>
      </w:r>
      <w:r>
        <w:rPr>
          <w:rFonts w:hint="eastAsia" w:ascii="宋体" w:hAnsi="宋体" w:cs="宋体"/>
          <w:bCs/>
          <w:sz w:val="24"/>
        </w:rPr>
        <w:t>府采购相关法律法规以及《财政部关于进一步加强政府采购需求和履约验收管理的指导意见》(财库〔2016〕205号)的要求进行验收。</w:t>
      </w:r>
    </w:p>
    <w:p>
      <w:pPr>
        <w:spacing w:line="360" w:lineRule="auto"/>
        <w:ind w:firstLine="196" w:firstLineChars="82"/>
        <w:jc w:val="left"/>
        <w:rPr>
          <w:rFonts w:ascii="宋体" w:hAnsi="宋体" w:cs="宋体"/>
          <w:sz w:val="24"/>
        </w:rPr>
      </w:pPr>
      <w:r>
        <w:rPr>
          <w:rFonts w:hint="eastAsia" w:ascii="宋体" w:hAnsi="宋体" w:cs="宋体"/>
          <w:bCs/>
          <w:sz w:val="24"/>
        </w:rPr>
        <w:t>（</w:t>
      </w:r>
      <w:r>
        <w:rPr>
          <w:rFonts w:hint="eastAsia" w:ascii="宋体" w:hAnsi="宋体" w:cs="宋体"/>
          <w:sz w:val="24"/>
        </w:rPr>
        <w:t>七）其他要求：</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1</w:t>
      </w:r>
      <w:r>
        <w:rPr>
          <w:rFonts w:ascii="宋体" w:hAnsi="宋体" w:cs="宋体"/>
          <w:sz w:val="24"/>
        </w:rPr>
        <w:t>.</w:t>
      </w:r>
      <w:r>
        <w:rPr>
          <w:rFonts w:hint="eastAsia" w:ascii="宋体" w:hAnsi="宋体" w:cs="宋体"/>
          <w:sz w:val="24"/>
        </w:rPr>
        <w:t xml:space="preserve">服务过程中发生的人身及设备事故由服务单位自行负责。 </w:t>
      </w:r>
    </w:p>
    <w:p>
      <w:pPr>
        <w:spacing w:line="360" w:lineRule="auto"/>
        <w:ind w:firstLine="198" w:firstLineChars="82"/>
        <w:jc w:val="left"/>
        <w:rPr>
          <w:rFonts w:ascii="宋体" w:hAnsi="宋体" w:cs="宋体"/>
          <w:sz w:val="24"/>
        </w:rPr>
      </w:pPr>
      <w:r>
        <w:rPr>
          <w:rFonts w:hint="eastAsia" w:ascii="宋体" w:hAnsi="宋体" w:cs="宋体"/>
          <w:b/>
          <w:color w:val="000000"/>
          <w:sz w:val="24"/>
        </w:rPr>
        <w:t>★</w:t>
      </w:r>
      <w:r>
        <w:rPr>
          <w:rFonts w:hint="eastAsia" w:ascii="宋体" w:hAnsi="宋体" w:cs="宋体"/>
          <w:sz w:val="24"/>
        </w:rPr>
        <w:t>2</w:t>
      </w:r>
      <w:r>
        <w:rPr>
          <w:rFonts w:ascii="宋体" w:hAnsi="宋体" w:cs="宋体"/>
          <w:sz w:val="24"/>
        </w:rPr>
        <w:t>.</w:t>
      </w:r>
      <w:r>
        <w:rPr>
          <w:rFonts w:hint="eastAsia" w:ascii="宋体" w:hAnsi="宋体" w:cs="宋体"/>
          <w:sz w:val="24"/>
        </w:rPr>
        <w:t xml:space="preserve">承保公司应当妥善保管采购方提供的资料，保守各项秘密，不得外泄，不得私自利用采购人提供的信息为自己谋利或提供给第三方。 </w:t>
      </w:r>
    </w:p>
    <w:p>
      <w:pPr>
        <w:spacing w:line="360" w:lineRule="auto"/>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（八）采购人的权利和义务</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1.采购人有权对合同规定范围内成交供应商的服务行为进行监督和检查，拥有监管权。有权定期核对成交供应商提供服务所配备的人员数量。对采购人认为不合理的部分有权下达整改通知书，并要求成交供应商限期整改。</w:t>
      </w:r>
    </w:p>
    <w:p>
      <w:pPr>
        <w:spacing w:line="360" w:lineRule="auto"/>
        <w:ind w:firstLine="480" w:firstLineChars="200"/>
        <w:jc w:val="left"/>
        <w:textAlignment w:val="baseline"/>
        <w:rPr>
          <w:rFonts w:ascii="宋体" w:hAnsi="宋体" w:cs="宋体"/>
          <w:bCs/>
          <w:sz w:val="24"/>
          <w:lang w:bidi="ar"/>
        </w:rPr>
      </w:pPr>
      <w:r>
        <w:rPr>
          <w:rFonts w:hint="eastAsia" w:ascii="宋体" w:hAnsi="宋体" w:cs="宋体"/>
          <w:bCs/>
          <w:sz w:val="24"/>
          <w:lang w:bidi="ar"/>
        </w:rPr>
        <w:t>2.采购人有权依据双方签订的考评办法对成交供应商提供的服务进行定期考评。</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3.负责检查监督成交供应商管理工作的实施及制度的执行情况。</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4.根据合同规定，按时向成交供应商支付应付服务费用。</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5.国家法律、法规所规定由采购人承担的其它责任。</w:t>
      </w:r>
    </w:p>
    <w:p>
      <w:pPr>
        <w:spacing w:line="360" w:lineRule="auto"/>
        <w:outlineLvl w:val="1"/>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（九）供应商的权利和义务</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1.对合同规定的委托服务范围内的项目享有管理权及服务义务。</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2.根据合同的规定向采购人收取相关服务费用，并有权在本项目管理范围内管理及合理使用。</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3.及时向采购人通告本项目服务范围内有关服务的重大事项，及时配合处理投诉。</w:t>
      </w:r>
    </w:p>
    <w:p>
      <w:pPr>
        <w:spacing w:line="360" w:lineRule="auto"/>
        <w:ind w:firstLine="480" w:firstLineChars="200"/>
        <w:jc w:val="left"/>
        <w:textAlignment w:val="baseline"/>
        <w:rPr>
          <w:rFonts w:ascii="宋体" w:hAnsi="宋体" w:cs="宋体"/>
          <w:sz w:val="24"/>
        </w:rPr>
      </w:pPr>
      <w:r>
        <w:rPr>
          <w:rFonts w:hint="eastAsia" w:ascii="宋体" w:hAnsi="宋体" w:cs="宋体"/>
          <w:sz w:val="24"/>
        </w:rPr>
        <w:t>4.接受项目行业管理部门及政府有关部门的指导，接受采购人的监督。</w:t>
      </w:r>
    </w:p>
    <w:p>
      <w:pPr>
        <w:spacing w:line="360" w:lineRule="auto"/>
        <w:ind w:firstLine="480" w:firstLineChars="200"/>
        <w:jc w:val="left"/>
        <w:textAlignment w:val="baseline"/>
        <w:rPr>
          <w:rFonts w:ascii="宋体" w:hAnsi="宋体" w:cs="宋体"/>
          <w:b/>
          <w:bCs/>
          <w:sz w:val="24"/>
        </w:rPr>
      </w:pPr>
      <w:r>
        <w:rPr>
          <w:rFonts w:hint="eastAsia" w:ascii="宋体" w:hAnsi="宋体" w:cs="宋体"/>
          <w:sz w:val="24"/>
        </w:rPr>
        <w:t>5.国家法律、法规所规定由成交供应商承担的其它责任。</w:t>
      </w:r>
    </w:p>
    <w:p>
      <w:pPr>
        <w:spacing w:line="360" w:lineRule="auto"/>
        <w:jc w:val="left"/>
        <w:textAlignment w:val="baseline"/>
        <w:outlineLvl w:val="1"/>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（十）违约责任</w:t>
      </w:r>
    </w:p>
    <w:p>
      <w:pPr>
        <w:spacing w:line="360" w:lineRule="auto"/>
        <w:ind w:firstLine="480" w:firstLineChars="200"/>
        <w:jc w:val="left"/>
        <w:textAlignment w:val="baseline"/>
        <w:rPr>
          <w:rFonts w:ascii="宋体" w:hAnsi="宋体" w:cs="宋体"/>
          <w:bCs/>
          <w:sz w:val="24"/>
          <w:lang w:bidi="ar"/>
        </w:rPr>
      </w:pPr>
      <w:r>
        <w:rPr>
          <w:rFonts w:hint="eastAsia" w:ascii="宋体" w:hAnsi="宋体" w:cs="宋体"/>
          <w:bCs/>
          <w:sz w:val="24"/>
          <w:lang w:bidi="ar"/>
        </w:rPr>
        <w:t>1.双方必须遵守合同并执行合同中的各项规定，保证合同的正常履行。</w:t>
      </w:r>
    </w:p>
    <w:p>
      <w:pPr>
        <w:spacing w:line="360" w:lineRule="auto"/>
        <w:ind w:firstLine="480" w:firstLineChars="200"/>
        <w:jc w:val="left"/>
        <w:textAlignment w:val="baseline"/>
        <w:rPr>
          <w:rFonts w:ascii="宋体" w:hAnsi="宋体" w:cs="宋体"/>
          <w:bCs/>
          <w:sz w:val="24"/>
          <w:lang w:bidi="ar"/>
        </w:rPr>
      </w:pPr>
      <w:r>
        <w:rPr>
          <w:rFonts w:hint="eastAsia" w:ascii="宋体" w:hAnsi="宋体" w:cs="宋体"/>
          <w:bCs/>
          <w:sz w:val="24"/>
          <w:lang w:bidi="ar"/>
        </w:rPr>
        <w:t>2.如因</w:t>
      </w:r>
      <w:r>
        <w:rPr>
          <w:rFonts w:hint="eastAsia" w:ascii="宋体" w:hAnsi="宋体" w:cs="宋体"/>
          <w:sz w:val="24"/>
        </w:rPr>
        <w:t>成交供应商</w:t>
      </w:r>
      <w:r>
        <w:rPr>
          <w:rFonts w:hint="eastAsia" w:ascii="宋体" w:hAnsi="宋体" w:cs="宋体"/>
          <w:bCs/>
          <w:sz w:val="24"/>
          <w:lang w:bidi="ar"/>
        </w:rPr>
        <w:t>工作人员在履行职务过程中的疏忽、失职、过错等故意或者过失原因给</w:t>
      </w:r>
      <w:r>
        <w:rPr>
          <w:rFonts w:hint="eastAsia" w:ascii="宋体" w:hAnsi="宋体" w:cs="宋体"/>
          <w:sz w:val="24"/>
        </w:rPr>
        <w:t>采购人</w:t>
      </w:r>
      <w:r>
        <w:rPr>
          <w:rFonts w:hint="eastAsia" w:ascii="宋体" w:hAnsi="宋体" w:cs="宋体"/>
          <w:bCs/>
          <w:sz w:val="24"/>
          <w:lang w:bidi="ar"/>
        </w:rPr>
        <w:t>造成损失或侵害，包括但不限于</w:t>
      </w:r>
      <w:r>
        <w:rPr>
          <w:rFonts w:hint="eastAsia" w:ascii="宋体" w:hAnsi="宋体" w:cs="宋体"/>
          <w:sz w:val="24"/>
        </w:rPr>
        <w:t>采购人</w:t>
      </w:r>
      <w:r>
        <w:rPr>
          <w:rFonts w:hint="eastAsia" w:ascii="宋体" w:hAnsi="宋体" w:cs="宋体"/>
          <w:bCs/>
          <w:sz w:val="24"/>
          <w:lang w:bidi="ar"/>
        </w:rPr>
        <w:t>本身的财产损失、由此而导致的</w:t>
      </w:r>
      <w:r>
        <w:rPr>
          <w:rFonts w:hint="eastAsia" w:ascii="宋体" w:hAnsi="宋体" w:cs="宋体"/>
          <w:sz w:val="24"/>
        </w:rPr>
        <w:t>采购人</w:t>
      </w:r>
      <w:r>
        <w:rPr>
          <w:rFonts w:hint="eastAsia" w:ascii="宋体" w:hAnsi="宋体" w:cs="宋体"/>
          <w:bCs/>
          <w:sz w:val="24"/>
          <w:lang w:bidi="ar"/>
        </w:rPr>
        <w:t>对任何第三方的法律责任等，</w:t>
      </w:r>
      <w:r>
        <w:rPr>
          <w:rFonts w:hint="eastAsia" w:ascii="宋体" w:hAnsi="宋体" w:cs="宋体"/>
          <w:sz w:val="24"/>
        </w:rPr>
        <w:t>成交供应商</w:t>
      </w:r>
      <w:r>
        <w:rPr>
          <w:rFonts w:hint="eastAsia" w:ascii="宋体" w:hAnsi="宋体" w:cs="宋体"/>
          <w:bCs/>
          <w:sz w:val="24"/>
          <w:lang w:bidi="ar"/>
        </w:rPr>
        <w:t>对此均应承担全部的赔偿责任。</w:t>
      </w:r>
    </w:p>
    <w:p>
      <w:pPr>
        <w:tabs>
          <w:tab w:val="left" w:pos="0"/>
        </w:tabs>
        <w:spacing w:line="360" w:lineRule="auto"/>
        <w:outlineLvl w:val="1"/>
        <w:rPr>
          <w:rFonts w:ascii="宋体" w:hAnsi="宋体" w:cs="宋体"/>
          <w:sz w:val="24"/>
          <w:lang w:bidi="ar"/>
        </w:rPr>
      </w:pPr>
      <w:r>
        <w:rPr>
          <w:rFonts w:hint="eastAsia" w:ascii="宋体" w:hAnsi="宋体" w:cs="宋体"/>
          <w:b/>
          <w:color w:val="000000"/>
          <w:sz w:val="24"/>
        </w:rPr>
        <w:t>★</w:t>
      </w:r>
      <w:r>
        <w:rPr>
          <w:rFonts w:hint="eastAsia" w:ascii="宋体" w:hAnsi="宋体" w:cs="宋体"/>
          <w:b/>
          <w:bCs/>
          <w:sz w:val="24"/>
        </w:rPr>
        <w:t>（十一）争议解决的办法</w:t>
      </w:r>
    </w:p>
    <w:p>
      <w:pPr>
        <w:pStyle w:val="13"/>
        <w:spacing w:after="0" w:line="360" w:lineRule="auto"/>
        <w:ind w:firstLine="480" w:firstLineChars="200"/>
        <w:rPr>
          <w:rFonts w:ascii="宋体" w:hAnsi="宋体" w:cs="宋体"/>
          <w:bCs/>
          <w:sz w:val="24"/>
          <w:lang w:bidi="ar"/>
        </w:rPr>
      </w:pPr>
      <w:r>
        <w:rPr>
          <w:rFonts w:hint="eastAsia" w:ascii="宋体" w:hAnsi="宋体" w:cs="宋体"/>
          <w:bCs/>
          <w:sz w:val="24"/>
          <w:lang w:bidi="ar"/>
        </w:rPr>
        <w:t>合同履行期间，若双方发生争议，可协商或由有关部门调解解决，协商或调解不成的，由当事人向采购人项目所在地人民法院提起诉讼。</w:t>
      </w:r>
    </w:p>
    <w:p>
      <w:pPr>
        <w:tabs>
          <w:tab w:val="left" w:pos="0"/>
        </w:tabs>
        <w:spacing w:line="360" w:lineRule="auto"/>
        <w:outlineLvl w:val="1"/>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（十二）不可抗力事件处理</w:t>
      </w:r>
    </w:p>
    <w:p>
      <w:pPr>
        <w:tabs>
          <w:tab w:val="left" w:pos="7665"/>
        </w:tabs>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7665"/>
        </w:tabs>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tabs>
          <w:tab w:val="left" w:pos="7665"/>
        </w:tabs>
        <w:spacing w:line="360" w:lineRule="auto"/>
        <w:ind w:firstLine="480" w:firstLineChars="200"/>
        <w:rPr>
          <w:rFonts w:ascii="宋体" w:hAnsi="宋体" w:cs="宋体"/>
          <w:sz w:val="24"/>
        </w:rPr>
      </w:pPr>
      <w:r>
        <w:rPr>
          <w:rFonts w:hint="eastAsia" w:ascii="宋体" w:hAnsi="宋体" w:cs="宋体"/>
          <w:sz w:val="24"/>
        </w:rPr>
        <w:t>3.不可抗力事件延续30天以上，双方应通过友好协商，确定是否继续履行合同。</w:t>
      </w:r>
    </w:p>
    <w:p>
      <w:pPr>
        <w:tabs>
          <w:tab w:val="left" w:pos="0"/>
        </w:tabs>
        <w:spacing w:line="360" w:lineRule="auto"/>
        <w:rPr>
          <w:rFonts w:ascii="宋体" w:hAnsi="宋体" w:cs="宋体"/>
          <w:b/>
          <w:bCs/>
          <w:sz w:val="24"/>
        </w:rPr>
      </w:pPr>
      <w:r>
        <w:rPr>
          <w:rFonts w:hint="eastAsia" w:ascii="宋体" w:hAnsi="宋体" w:cs="宋体"/>
          <w:b/>
          <w:color w:val="000000"/>
          <w:sz w:val="24"/>
        </w:rPr>
        <w:t>★</w:t>
      </w:r>
      <w:r>
        <w:rPr>
          <w:rFonts w:hint="eastAsia" w:ascii="宋体" w:hAnsi="宋体" w:cs="宋体"/>
          <w:b/>
          <w:bCs/>
          <w:sz w:val="24"/>
        </w:rPr>
        <w:t>（十三）</w:t>
      </w:r>
      <w:r>
        <w:rPr>
          <w:rFonts w:hint="eastAsia" w:ascii="宋体" w:hAnsi="宋体" w:cs="宋体"/>
          <w:b/>
          <w:bCs/>
          <w:sz w:val="24"/>
          <w:lang w:bidi="ar"/>
        </w:rPr>
        <w:t>解决合同纠纷的方式</w:t>
      </w:r>
    </w:p>
    <w:p>
      <w:pPr>
        <w:tabs>
          <w:tab w:val="left" w:pos="0"/>
        </w:tabs>
        <w:spacing w:line="360" w:lineRule="auto"/>
        <w:ind w:firstLine="480" w:firstLineChars="200"/>
        <w:rPr>
          <w:rFonts w:ascii="宋体" w:hAnsi="宋体" w:cs="宋体"/>
          <w:sz w:val="24"/>
        </w:rPr>
      </w:pPr>
      <w:r>
        <w:rPr>
          <w:rFonts w:hint="eastAsia" w:ascii="宋体" w:hAnsi="宋体" w:cs="宋体"/>
          <w:sz w:val="24"/>
          <w:lang w:bidi="ar"/>
        </w:rPr>
        <w:t>1.在执行合同中发生的或与合同有关的争端，双方应通过友好协商解决，经协商在30天内不能达成协议时，应提交采购人所在地仲裁委员会仲裁。</w:t>
      </w:r>
    </w:p>
    <w:p>
      <w:pPr>
        <w:tabs>
          <w:tab w:val="left" w:pos="0"/>
        </w:tabs>
        <w:spacing w:line="360" w:lineRule="auto"/>
        <w:ind w:firstLine="480" w:firstLineChars="200"/>
        <w:rPr>
          <w:rFonts w:ascii="宋体" w:hAnsi="宋体" w:cs="宋体"/>
          <w:sz w:val="24"/>
        </w:rPr>
      </w:pPr>
      <w:r>
        <w:rPr>
          <w:rFonts w:hint="eastAsia" w:ascii="宋体" w:hAnsi="宋体" w:cs="宋体"/>
          <w:sz w:val="24"/>
          <w:lang w:bidi="ar"/>
        </w:rPr>
        <w:t>2.仲裁裁决应为最终决定，并对双方具有约束力。</w:t>
      </w:r>
    </w:p>
    <w:p>
      <w:pPr>
        <w:tabs>
          <w:tab w:val="left" w:pos="0"/>
        </w:tabs>
        <w:spacing w:line="360" w:lineRule="auto"/>
        <w:ind w:firstLine="480" w:firstLineChars="200"/>
        <w:rPr>
          <w:rFonts w:ascii="宋体" w:hAnsi="宋体" w:cs="宋体"/>
          <w:sz w:val="24"/>
        </w:rPr>
      </w:pPr>
      <w:r>
        <w:rPr>
          <w:rFonts w:hint="eastAsia" w:ascii="宋体" w:hAnsi="宋体" w:cs="宋体"/>
          <w:sz w:val="24"/>
          <w:lang w:bidi="ar"/>
        </w:rPr>
        <w:t xml:space="preserve">3.除另有裁决外，仲裁费应由败诉方负担。 </w:t>
      </w:r>
    </w:p>
    <w:p>
      <w:pPr>
        <w:tabs>
          <w:tab w:val="left" w:pos="0"/>
        </w:tabs>
        <w:spacing w:line="360" w:lineRule="auto"/>
        <w:ind w:firstLine="480" w:firstLineChars="200"/>
        <w:rPr>
          <w:rFonts w:ascii="宋体" w:hAnsi="宋体" w:cs="宋体"/>
          <w:sz w:val="24"/>
        </w:rPr>
      </w:pPr>
      <w:r>
        <w:rPr>
          <w:rFonts w:hint="eastAsia" w:ascii="宋体" w:hAnsi="宋体" w:cs="宋体"/>
          <w:sz w:val="24"/>
          <w:lang w:bidi="ar"/>
        </w:rPr>
        <w:t xml:space="preserve">4.在仲裁期间，除正在进行仲裁部分外，合同其他部分继续执行。  </w:t>
      </w:r>
    </w:p>
    <w:p>
      <w:pPr>
        <w:pStyle w:val="10"/>
        <w:spacing w:line="360" w:lineRule="auto"/>
        <w:rPr>
          <w:rFonts w:ascii="宋体" w:hAnsi="宋体" w:cs="宋体"/>
          <w:b/>
          <w:bCs/>
          <w:sz w:val="24"/>
        </w:rPr>
      </w:pPr>
      <w:r>
        <w:rPr>
          <w:rFonts w:hint="eastAsia" w:hAnsi="宋体" w:cs="宋体"/>
          <w:b/>
          <w:sz w:val="24"/>
          <w:szCs w:val="24"/>
        </w:rPr>
        <w:t>★</w:t>
      </w:r>
      <w:r>
        <w:rPr>
          <w:rFonts w:hint="eastAsia" w:ascii="宋体" w:hAnsi="宋体" w:cs="宋体"/>
          <w:b/>
          <w:bCs/>
          <w:sz w:val="24"/>
        </w:rPr>
        <w:t>四、服务方案</w:t>
      </w:r>
    </w:p>
    <w:p>
      <w:pPr>
        <w:pStyle w:val="10"/>
        <w:spacing w:line="360" w:lineRule="auto"/>
        <w:rPr>
          <w:rFonts w:ascii="宋体" w:hAnsi="宋体" w:cs="宋体"/>
          <w:b/>
          <w:bCs/>
          <w:sz w:val="24"/>
        </w:rPr>
      </w:pPr>
      <w:r>
        <w:rPr>
          <w:rFonts w:hint="eastAsia" w:ascii="宋体" w:hAnsi="宋体" w:cs="宋体"/>
          <w:b/>
          <w:bCs/>
          <w:sz w:val="24"/>
        </w:rPr>
        <w:t>供应商应针对本项目提出以下方案：</w:t>
      </w:r>
    </w:p>
    <w:p>
      <w:pPr>
        <w:pStyle w:val="9"/>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投标人应编制全院医疗设备维护维保服务方案，重点类别设备（超声类、放射类、生命支持类）应单独提供维护维保方案。</w:t>
      </w:r>
    </w:p>
    <w:p>
      <w:pPr>
        <w:pStyle w:val="17"/>
        <w:adjustRightInd/>
        <w:spacing w:line="360" w:lineRule="auto"/>
        <w:ind w:firstLine="482" w:firstLineChars="200"/>
        <w:rPr>
          <w:rFonts w:hAnsi="宋体" w:cs="宋体"/>
          <w:b/>
          <w:bCs/>
          <w:color w:val="000000"/>
          <w:sz w:val="24"/>
        </w:rPr>
      </w:pPr>
    </w:p>
    <w:p>
      <w:pPr>
        <w:pStyle w:val="17"/>
        <w:adjustRightInd/>
        <w:spacing w:line="360" w:lineRule="auto"/>
        <w:ind w:firstLine="482" w:firstLineChars="200"/>
        <w:rPr>
          <w:rFonts w:hAnsi="宋体" w:cs="宋体"/>
          <w:b/>
          <w:sz w:val="24"/>
          <w:szCs w:val="24"/>
        </w:rPr>
      </w:pPr>
      <w:r>
        <w:rPr>
          <w:rFonts w:hint="eastAsia" w:hAnsi="宋体" w:cs="宋体"/>
          <w:b/>
          <w:bCs/>
          <w:color w:val="000000"/>
          <w:sz w:val="24"/>
        </w:rPr>
        <w:t>注：</w:t>
      </w:r>
      <w:r>
        <w:rPr>
          <w:rFonts w:hint="eastAsia" w:hAnsi="宋体" w:cs="宋体"/>
          <w:b/>
          <w:sz w:val="24"/>
          <w:szCs w:val="24"/>
        </w:rPr>
        <w:t>1.以上打★号的为本次磋商采购项目的实质性要求，不允许有负偏离，负偏离做无效响应处理。</w:t>
      </w:r>
    </w:p>
    <w:p>
      <w:pPr>
        <w:pStyle w:val="17"/>
        <w:adjustRightInd/>
        <w:spacing w:line="360" w:lineRule="auto"/>
        <w:ind w:firstLine="482" w:firstLineChars="200"/>
        <w:rPr>
          <w:rFonts w:hAnsi="宋体" w:cs="宋体"/>
          <w:b/>
          <w:sz w:val="24"/>
          <w:szCs w:val="24"/>
        </w:rPr>
      </w:pPr>
      <w:r>
        <w:rPr>
          <w:rFonts w:hint="eastAsia" w:hAnsi="宋体" w:cs="宋体"/>
          <w:b/>
          <w:sz w:val="24"/>
          <w:szCs w:val="24"/>
        </w:rPr>
        <w:t>2.以上打▲号的为本次磋商采购项目的重要性要求，但在评分表中按评分表要求扣除相应的分值。</w:t>
      </w:r>
    </w:p>
    <w:p>
      <w:pPr>
        <w:pStyle w:val="9"/>
        <w:spacing w:line="420" w:lineRule="exact"/>
        <w:ind w:firstLine="422" w:firstLineChars="175"/>
        <w:rPr>
          <w:rFonts w:ascii="宋体" w:hAnsi="宋体" w:cs="宋体"/>
          <w:b/>
          <w:bCs/>
          <w:sz w:val="24"/>
        </w:rPr>
      </w:pPr>
      <w:r>
        <w:rPr>
          <w:rFonts w:hint="eastAsia" w:ascii="宋体" w:hAnsi="宋体" w:cs="宋体"/>
          <w:b/>
          <w:bCs/>
          <w:sz w:val="24"/>
        </w:rPr>
        <w:t>3.参数中标注小于或大于等要求，无特别说明外，均包含本数。</w:t>
      </w:r>
    </w:p>
    <w:p>
      <w:pPr>
        <w:pStyle w:val="17"/>
        <w:adjustRightInd/>
        <w:spacing w:line="360" w:lineRule="auto"/>
        <w:ind w:firstLine="482" w:firstLineChars="200"/>
        <w:rPr>
          <w:rFonts w:hAnsi="宋体" w:cs="宋体"/>
          <w:b/>
          <w:sz w:val="24"/>
          <w:szCs w:val="24"/>
        </w:rPr>
      </w:pPr>
      <w:r>
        <w:rPr>
          <w:rFonts w:hAnsi="宋体" w:cs="宋体"/>
          <w:b/>
          <w:sz w:val="24"/>
          <w:szCs w:val="24"/>
        </w:rPr>
        <w:t>4</w:t>
      </w:r>
      <w:r>
        <w:rPr>
          <w:rFonts w:hint="eastAsia" w:hAnsi="宋体" w:cs="宋体"/>
          <w:b/>
          <w:sz w:val="24"/>
          <w:szCs w:val="24"/>
        </w:rPr>
        <w:t>.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bookmarkEnd w:id="64"/>
    <w:bookmarkEnd w:id="65"/>
    <w:bookmarkEnd w:id="66"/>
    <w:bookmarkEnd w:id="67"/>
    <w:bookmarkEnd w:id="68"/>
    <w:p>
      <w:pPr>
        <w:widowControl/>
        <w:jc w:val="left"/>
        <w:rPr>
          <w:rFonts w:ascii="宋体" w:hAnsi="宋体" w:cs="宋体"/>
          <w:b/>
          <w:bCs/>
          <w:kern w:val="44"/>
          <w:sz w:val="36"/>
          <w:szCs w:val="36"/>
        </w:rPr>
      </w:pPr>
      <w:bookmarkStart w:id="80" w:name="_Toc517447493"/>
      <w:bookmarkStart w:id="81" w:name="_Toc217446057"/>
      <w:bookmarkStart w:id="82" w:name="_Toc183682369"/>
      <w:bookmarkStart w:id="83" w:name="_Toc183582232"/>
      <w:r>
        <w:rPr>
          <w:rFonts w:ascii="宋体" w:hAnsi="宋体" w:cs="宋体"/>
          <w:sz w:val="36"/>
          <w:szCs w:val="36"/>
        </w:rPr>
        <w:br w:type="page"/>
      </w:r>
    </w:p>
    <w:p>
      <w:pPr>
        <w:pStyle w:val="4"/>
        <w:spacing w:before="0" w:after="0" w:line="360" w:lineRule="auto"/>
        <w:jc w:val="center"/>
        <w:rPr>
          <w:rFonts w:ascii="宋体" w:hAnsi="宋体" w:cs="宋体"/>
          <w:sz w:val="36"/>
          <w:szCs w:val="36"/>
        </w:rPr>
      </w:pPr>
      <w:r>
        <w:rPr>
          <w:rFonts w:hint="eastAsia" w:ascii="宋体" w:hAnsi="宋体" w:cs="宋体"/>
          <w:sz w:val="36"/>
          <w:szCs w:val="36"/>
        </w:rPr>
        <w:t>第六章  响应文件格式</w:t>
      </w:r>
      <w:bookmarkEnd w:id="80"/>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 xml:space="preserve">    一、本章所制响应文件格式，除格式中明确将该格式作为实质性要求的，一律不具有强制性。</w:t>
      </w:r>
    </w:p>
    <w:p>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pPr>
        <w:spacing w:line="360" w:lineRule="auto"/>
        <w:ind w:firstLine="360" w:firstLineChars="15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w:t>
      </w:r>
    </w:p>
    <w:p>
      <w:pPr>
        <w:spacing w:line="360" w:lineRule="auto"/>
        <w:ind w:firstLine="360" w:firstLineChars="150"/>
        <w:rPr>
          <w:rFonts w:ascii="宋体" w:hAnsi="宋体" w:cs="宋体"/>
          <w:sz w:val="24"/>
        </w:rPr>
      </w:pPr>
      <w:r>
        <w:rPr>
          <w:rFonts w:hint="eastAsia" w:ascii="宋体" w:hAnsi="宋体" w:cs="宋体"/>
          <w:sz w:val="24"/>
        </w:rPr>
        <w:t>四、本章格式中“注”的内容，供应商可以自行决定是否保留在响应文件中。未保留视为供应商默认接受“注”的内容。</w:t>
      </w: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bookmarkStart w:id="84" w:name="_Toc229393541"/>
      <w:bookmarkStart w:id="85" w:name="_Toc229393373"/>
      <w:bookmarkStart w:id="86" w:name="_Toc229393625"/>
      <w:bookmarkStart w:id="87" w:name="_Toc256502534"/>
      <w:r>
        <w:rPr>
          <w:rFonts w:hint="eastAsia" w:ascii="宋体" w:hAnsi="宋体" w:cs="宋体"/>
          <w:b/>
          <w:sz w:val="32"/>
          <w:szCs w:val="32"/>
        </w:rPr>
        <w:br w:type="page"/>
      </w:r>
      <w:r>
        <w:rPr>
          <w:rFonts w:hint="eastAsia" w:ascii="宋体" w:hAnsi="宋体" w:cs="宋体"/>
          <w:b/>
          <w:sz w:val="32"/>
          <w:szCs w:val="32"/>
        </w:rPr>
        <w:t>资格性响应文件封面</w:t>
      </w:r>
      <w:bookmarkEnd w:id="84"/>
      <w:bookmarkEnd w:id="85"/>
      <w:bookmarkEnd w:id="86"/>
      <w:bookmarkEnd w:id="87"/>
    </w:p>
    <w:p>
      <w:pPr>
        <w:wordWrap w:val="0"/>
        <w:spacing w:line="360" w:lineRule="auto"/>
        <w:jc w:val="right"/>
        <w:rPr>
          <w:rFonts w:ascii="宋体" w:hAnsi="宋体" w:cs="宋体"/>
          <w:b/>
          <w:sz w:val="36"/>
          <w:szCs w:val="36"/>
        </w:rPr>
      </w:pPr>
      <w:bookmarkStart w:id="88" w:name="_Toc321039808"/>
      <w:bookmarkStart w:id="89" w:name="_Toc245441569"/>
      <w:bookmarkStart w:id="90" w:name="_Toc241204411"/>
      <w:bookmarkStart w:id="91" w:name="_Toc256004181"/>
      <w:bookmarkStart w:id="92" w:name="_Toc241055010"/>
      <w:bookmarkStart w:id="93" w:name="_Toc240870038"/>
      <w:bookmarkStart w:id="94" w:name="_Toc321035816"/>
      <w:bookmarkStart w:id="95" w:name="_Toc307298461"/>
      <w:bookmarkStart w:id="96" w:name="_Toc256502535"/>
      <w:bookmarkStart w:id="97" w:name="_Toc321039334"/>
      <w:bookmarkStart w:id="98" w:name="_Toc255896757"/>
      <w:bookmarkStart w:id="99" w:name="_Toc315963009"/>
      <w:bookmarkStart w:id="100" w:name="_Toc255976267"/>
      <w:bookmarkStart w:id="101" w:name="_Toc306711419"/>
      <w:r>
        <w:rPr>
          <w:rFonts w:hint="eastAsia" w:ascii="宋体" w:hAnsi="宋体" w:cs="宋体"/>
          <w:b/>
          <w:sz w:val="36"/>
          <w:szCs w:val="36"/>
          <w:bdr w:val="single" w:color="auto" w:sz="4" w:space="0"/>
        </w:rPr>
        <w:t xml:space="preserve">   正/副  本</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5"/>
        <w:spacing w:before="0" w:after="0" w:line="360" w:lineRule="auto"/>
        <w:jc w:val="center"/>
        <w:rPr>
          <w:rFonts w:ascii="宋体" w:hAnsi="宋体" w:eastAsia="宋体" w:cs="宋体"/>
          <w:bCs w:val="0"/>
          <w:sz w:val="44"/>
          <w:szCs w:val="44"/>
        </w:rPr>
      </w:pPr>
      <w:bookmarkStart w:id="102" w:name="_Toc321063831"/>
      <w:bookmarkStart w:id="103" w:name="OLE_LINK12"/>
      <w:r>
        <w:rPr>
          <w:rFonts w:hint="eastAsia" w:ascii="宋体" w:hAnsi="宋体" w:eastAsia="宋体" w:cs="宋体"/>
          <w:bCs w:val="0"/>
          <w:sz w:val="44"/>
          <w:szCs w:val="44"/>
        </w:rPr>
        <w:t>资格性响应文件</w:t>
      </w:r>
      <w:bookmarkEnd w:id="102"/>
    </w:p>
    <w:p>
      <w:pPr>
        <w:spacing w:line="360" w:lineRule="auto"/>
        <w:rPr>
          <w:rFonts w:ascii="宋体" w:hAnsi="宋体" w:cs="宋体"/>
          <w:b/>
          <w:bCs/>
          <w:sz w:val="48"/>
        </w:rPr>
      </w:pPr>
    </w:p>
    <w:p>
      <w:pPr>
        <w:spacing w:line="360" w:lineRule="auto"/>
        <w:ind w:firstLine="482" w:firstLineChars="100"/>
        <w:rPr>
          <w:rFonts w:ascii="宋体" w:hAnsi="宋体" w:cs="宋体"/>
          <w:b/>
          <w:bCs/>
          <w:sz w:val="48"/>
        </w:rPr>
      </w:pPr>
    </w:p>
    <w:p>
      <w:pPr>
        <w:spacing w:line="360" w:lineRule="auto"/>
        <w:ind w:firstLine="482" w:firstLineChars="100"/>
        <w:rPr>
          <w:rFonts w:ascii="宋体" w:hAnsi="宋体" w:cs="宋体"/>
          <w:b/>
          <w:bCs/>
          <w:sz w:val="48"/>
        </w:rPr>
      </w:pPr>
      <w:r>
        <w:rPr>
          <w:rFonts w:hint="eastAsia" w:ascii="宋体" w:hAnsi="宋体" w:cs="宋体"/>
          <w:b/>
          <w:bCs/>
          <w:sz w:val="48"/>
        </w:rPr>
        <w:t>采购项目名称：</w:t>
      </w:r>
      <w:r>
        <w:rPr>
          <w:rFonts w:hint="eastAsia" w:ascii="宋体" w:hAnsi="宋体" w:cs="宋体"/>
          <w:b/>
          <w:bCs/>
          <w:sz w:val="48"/>
          <w:u w:val="single"/>
        </w:rPr>
        <w:t xml:space="preserve">                   </w:t>
      </w:r>
    </w:p>
    <w:p>
      <w:pPr>
        <w:spacing w:line="360" w:lineRule="auto"/>
        <w:rPr>
          <w:rFonts w:ascii="宋体" w:hAnsi="宋体" w:cs="宋体"/>
          <w:b/>
          <w:sz w:val="36"/>
          <w:szCs w:val="36"/>
        </w:rPr>
      </w:pPr>
      <w:r>
        <w:rPr>
          <w:rFonts w:hint="eastAsia" w:ascii="宋体" w:hAnsi="宋体" w:cs="宋体"/>
          <w:b/>
          <w:bCs/>
          <w:sz w:val="44"/>
          <w:szCs w:val="44"/>
        </w:rPr>
        <w:t xml:space="preserve">  </w:t>
      </w:r>
      <w:r>
        <w:rPr>
          <w:rFonts w:hint="eastAsia" w:ascii="宋体" w:hAnsi="宋体" w:cs="宋体"/>
          <w:b/>
          <w:bCs/>
          <w:sz w:val="48"/>
        </w:rPr>
        <w:t>采购文件编号</w:t>
      </w:r>
      <w:r>
        <w:rPr>
          <w:rFonts w:hint="eastAsia" w:ascii="宋体" w:hAnsi="宋体" w:cs="宋体"/>
          <w:sz w:val="44"/>
          <w:szCs w:val="44"/>
        </w:rPr>
        <w:t>：</w:t>
      </w:r>
      <w:r>
        <w:rPr>
          <w:rFonts w:hint="eastAsia" w:ascii="宋体" w:hAnsi="宋体" w:cs="宋体"/>
          <w:b/>
          <w:sz w:val="36"/>
          <w:szCs w:val="36"/>
        </w:rPr>
        <w:t xml:space="preserve"> </w:t>
      </w:r>
      <w:r>
        <w:rPr>
          <w:rFonts w:hint="eastAsia" w:ascii="宋体" w:hAnsi="宋体" w:cs="宋体"/>
          <w:b/>
          <w:bCs/>
          <w:sz w:val="48"/>
          <w:u w:val="single"/>
        </w:rPr>
        <w:t xml:space="preserve">                   </w:t>
      </w:r>
    </w:p>
    <w:p>
      <w:pPr>
        <w:spacing w:line="360" w:lineRule="auto"/>
        <w:ind w:firstLine="482" w:firstLineChars="100"/>
        <w:rPr>
          <w:rFonts w:ascii="宋体" w:hAnsi="宋体" w:cs="宋体"/>
          <w:sz w:val="48"/>
        </w:rPr>
      </w:pPr>
      <w:r>
        <w:rPr>
          <w:rFonts w:hint="eastAsia" w:ascii="宋体" w:hAnsi="宋体" w:cs="宋体"/>
          <w:b/>
          <w:bCs/>
          <w:sz w:val="48"/>
        </w:rPr>
        <w:t>供应商名称</w:t>
      </w:r>
      <w:r>
        <w:rPr>
          <w:rFonts w:hint="eastAsia" w:ascii="宋体" w:hAnsi="宋体" w:cs="宋体"/>
          <w:b/>
          <w:bCs/>
          <w:sz w:val="30"/>
          <w:szCs w:val="30"/>
        </w:rPr>
        <w:t>（盖单位公章）</w:t>
      </w:r>
      <w:r>
        <w:rPr>
          <w:rFonts w:hint="eastAsia" w:ascii="宋体" w:hAnsi="宋体" w:cs="宋体"/>
          <w:sz w:val="48"/>
        </w:rPr>
        <w:t>：</w:t>
      </w:r>
      <w:r>
        <w:rPr>
          <w:rFonts w:hint="eastAsia" w:ascii="宋体" w:hAnsi="宋体" w:cs="宋体"/>
          <w:b/>
          <w:bCs/>
          <w:sz w:val="48"/>
          <w:u w:val="single"/>
        </w:rPr>
        <w:t xml:space="preserve">                </w:t>
      </w:r>
    </w:p>
    <w:p>
      <w:pPr>
        <w:spacing w:line="360" w:lineRule="auto"/>
        <w:ind w:firstLine="482" w:firstLineChars="100"/>
        <w:rPr>
          <w:rFonts w:ascii="宋体" w:hAnsi="宋体" w:cs="宋体"/>
          <w:b/>
          <w:bCs/>
          <w:sz w:val="48"/>
        </w:rPr>
      </w:pPr>
      <w:r>
        <w:rPr>
          <w:rFonts w:hint="eastAsia" w:ascii="宋体" w:hAnsi="宋体" w:cs="宋体"/>
          <w:b/>
          <w:bCs/>
          <w:sz w:val="48"/>
        </w:rPr>
        <w:t>法定代表人（负责人）或其代理人</w:t>
      </w:r>
      <w:r>
        <w:rPr>
          <w:rFonts w:hint="eastAsia" w:ascii="宋体" w:hAnsi="宋体" w:cs="宋体"/>
          <w:b/>
          <w:bCs/>
          <w:sz w:val="30"/>
          <w:szCs w:val="30"/>
        </w:rPr>
        <w:t>（签字或者加盖个人名章）：</w:t>
      </w:r>
      <w:r>
        <w:rPr>
          <w:rFonts w:hint="eastAsia" w:ascii="宋体" w:hAnsi="宋体" w:cs="宋体"/>
          <w:b/>
          <w:bCs/>
          <w:sz w:val="48"/>
          <w:u w:val="single"/>
        </w:rPr>
        <w:t xml:space="preserve">                                 </w:t>
      </w:r>
    </w:p>
    <w:p>
      <w:pPr>
        <w:spacing w:line="360" w:lineRule="auto"/>
        <w:rPr>
          <w:rFonts w:ascii="宋体" w:hAnsi="宋体" w:cs="宋体"/>
          <w:sz w:val="48"/>
        </w:rPr>
      </w:pPr>
    </w:p>
    <w:p>
      <w:pPr>
        <w:spacing w:line="360" w:lineRule="auto"/>
        <w:rPr>
          <w:rFonts w:ascii="宋体" w:hAnsi="宋体" w:cs="宋体"/>
          <w:b/>
          <w:bCs/>
          <w:sz w:val="30"/>
          <w:szCs w:val="30"/>
        </w:rPr>
      </w:pPr>
      <w:r>
        <w:rPr>
          <w:rFonts w:hint="eastAsia" w:ascii="宋体" w:hAnsi="宋体" w:cs="宋体"/>
          <w:b/>
          <w:bCs/>
          <w:sz w:val="44"/>
          <w:szCs w:val="44"/>
        </w:rPr>
        <w:t xml:space="preserve">  </w:t>
      </w:r>
      <w:r>
        <w:rPr>
          <w:rFonts w:hint="eastAsia" w:ascii="宋体" w:hAnsi="宋体" w:cs="宋体"/>
          <w:b/>
          <w:bCs/>
          <w:sz w:val="48"/>
        </w:rPr>
        <w:t>日    期：</w:t>
      </w:r>
      <w:r>
        <w:rPr>
          <w:rFonts w:hint="eastAsia" w:ascii="宋体" w:hAnsi="宋体" w:cs="宋体"/>
          <w:b/>
          <w:bCs/>
          <w:sz w:val="48"/>
          <w:u w:val="single"/>
        </w:rPr>
        <w:t xml:space="preserve">      </w:t>
      </w:r>
      <w:r>
        <w:rPr>
          <w:rFonts w:hint="eastAsia" w:ascii="宋体" w:hAnsi="宋体" w:cs="宋体"/>
          <w:b/>
          <w:bCs/>
          <w:sz w:val="48"/>
        </w:rPr>
        <w:t>年</w:t>
      </w:r>
      <w:r>
        <w:rPr>
          <w:rFonts w:hint="eastAsia" w:ascii="宋体" w:hAnsi="宋体" w:cs="宋体"/>
          <w:b/>
          <w:bCs/>
          <w:sz w:val="48"/>
          <w:u w:val="single"/>
        </w:rPr>
        <w:t xml:space="preserve">    </w:t>
      </w:r>
      <w:r>
        <w:rPr>
          <w:rFonts w:hint="eastAsia" w:ascii="宋体" w:hAnsi="宋体" w:cs="宋体"/>
          <w:b/>
          <w:bCs/>
          <w:sz w:val="48"/>
        </w:rPr>
        <w:t>月</w:t>
      </w:r>
      <w:r>
        <w:rPr>
          <w:rFonts w:hint="eastAsia" w:ascii="宋体" w:hAnsi="宋体" w:cs="宋体"/>
          <w:b/>
          <w:bCs/>
          <w:sz w:val="48"/>
          <w:u w:val="single"/>
        </w:rPr>
        <w:t xml:space="preserve">     </w:t>
      </w:r>
      <w:r>
        <w:rPr>
          <w:rFonts w:hint="eastAsia" w:ascii="宋体" w:hAnsi="宋体" w:cs="宋体"/>
          <w:b/>
          <w:bCs/>
          <w:sz w:val="48"/>
        </w:rPr>
        <w:t>日</w:t>
      </w:r>
    </w:p>
    <w:p>
      <w:pPr>
        <w:pStyle w:val="60"/>
        <w:jc w:val="center"/>
        <w:rPr>
          <w:rFonts w:hAnsi="宋体" w:cs="宋体"/>
        </w:rPr>
      </w:pPr>
      <w:bookmarkStart w:id="104" w:name="_Toc321063835"/>
      <w:r>
        <w:rPr>
          <w:rFonts w:hint="eastAsia" w:hAnsi="宋体" w:cs="宋体"/>
        </w:rPr>
        <w:br w:type="page"/>
      </w:r>
    </w:p>
    <w:p>
      <w:pPr>
        <w:spacing w:line="360" w:lineRule="auto"/>
        <w:jc w:val="center"/>
        <w:rPr>
          <w:rFonts w:ascii="宋体" w:hAnsi="宋体" w:cs="宋体"/>
          <w:b/>
          <w:bCs/>
          <w:sz w:val="32"/>
          <w:szCs w:val="32"/>
        </w:rPr>
      </w:pPr>
      <w:bookmarkStart w:id="105" w:name="_Hlk150350459"/>
      <w:r>
        <w:rPr>
          <w:rFonts w:hint="eastAsia" w:ascii="宋体" w:hAnsi="宋体" w:cs="宋体"/>
          <w:b/>
          <w:bCs/>
          <w:sz w:val="32"/>
          <w:szCs w:val="32"/>
        </w:rPr>
        <w:t>一、</w:t>
      </w:r>
      <w:r>
        <w:rPr>
          <w:rFonts w:ascii="宋体" w:hAnsi="宋体" w:cs="宋体"/>
          <w:b/>
          <w:bCs/>
          <w:sz w:val="32"/>
          <w:szCs w:val="32"/>
        </w:rPr>
        <w:t>供应商廉洁承诺书</w:t>
      </w:r>
      <w:r>
        <w:rPr>
          <w:rFonts w:hint="eastAsia" w:ascii="宋体" w:hAnsi="宋体" w:cs="宋体"/>
          <w:b/>
          <w:bCs/>
          <w:sz w:val="32"/>
          <w:szCs w:val="32"/>
        </w:rPr>
        <w:t>（实质性要求）</w:t>
      </w:r>
    </w:p>
    <w:bookmarkEnd w:id="105"/>
    <w:p>
      <w:pPr>
        <w:pStyle w:val="60"/>
        <w:rPr>
          <w:rFonts w:hAnsi="宋体" w:cs="宋体"/>
          <w:sz w:val="28"/>
          <w:szCs w:val="28"/>
        </w:rPr>
      </w:pPr>
      <w:r>
        <w:rPr>
          <w:rFonts w:hint="eastAsia" w:hAnsi="宋体" w:cs="宋体"/>
          <w:sz w:val="28"/>
          <w:szCs w:val="28"/>
        </w:rPr>
        <w:t>绵竹市中医医院：</w:t>
      </w:r>
    </w:p>
    <w:p>
      <w:pPr>
        <w:spacing w:line="360" w:lineRule="auto"/>
        <w:ind w:firstLine="560" w:firstLineChars="200"/>
        <w:rPr>
          <w:rFonts w:ascii="宋体" w:hAnsi="宋体" w:cs="宋体"/>
          <w:sz w:val="28"/>
          <w:szCs w:val="28"/>
        </w:rPr>
      </w:pPr>
      <w:r>
        <w:rPr>
          <w:rFonts w:hint="eastAsia" w:ascii="宋体" w:hAnsi="宋体" w:cs="宋体"/>
          <w:sz w:val="28"/>
          <w:szCs w:val="28"/>
        </w:rPr>
        <w:t>根据你单位竞争性磋商邀请函“           ，项目编号“       ”项目采购，我方</w:t>
      </w:r>
      <w:r>
        <w:rPr>
          <w:rFonts w:ascii="宋体" w:hAnsi="宋体" w:cs="宋体"/>
          <w:sz w:val="28"/>
          <w:szCs w:val="28"/>
        </w:rPr>
        <w:t>现郑重承诺：</w:t>
      </w:r>
    </w:p>
    <w:p>
      <w:pPr>
        <w:spacing w:line="360" w:lineRule="auto"/>
        <w:ind w:firstLine="560" w:firstLineChars="200"/>
        <w:rPr>
          <w:rFonts w:ascii="宋体" w:hAnsi="宋体" w:cs="宋体"/>
          <w:sz w:val="28"/>
          <w:szCs w:val="28"/>
        </w:rPr>
      </w:pPr>
      <w:r>
        <w:rPr>
          <w:rFonts w:ascii="宋体" w:hAnsi="宋体" w:cs="宋体"/>
          <w:sz w:val="28"/>
          <w:szCs w:val="28"/>
        </w:rPr>
        <w:t>一、不以任何方式向项目采购人、科室负责人、审批人员、监审人员等行贿。</w:t>
      </w:r>
    </w:p>
    <w:p>
      <w:pPr>
        <w:spacing w:line="360" w:lineRule="auto"/>
        <w:ind w:firstLine="560" w:firstLineChars="200"/>
        <w:rPr>
          <w:rFonts w:ascii="宋体" w:hAnsi="宋体" w:cs="宋体"/>
          <w:sz w:val="28"/>
          <w:szCs w:val="28"/>
        </w:rPr>
      </w:pPr>
      <w:r>
        <w:rPr>
          <w:rFonts w:ascii="宋体" w:hAnsi="宋体" w:cs="宋体"/>
          <w:sz w:val="28"/>
          <w:szCs w:val="28"/>
        </w:rPr>
        <w:t>二、不以任何方式托人打招呼、求关照、搞利益结盟。腐蚀医院或其他工作人员。</w:t>
      </w:r>
    </w:p>
    <w:p>
      <w:pPr>
        <w:spacing w:line="360" w:lineRule="auto"/>
        <w:ind w:firstLine="560" w:firstLineChars="200"/>
        <w:rPr>
          <w:rFonts w:ascii="宋体" w:hAnsi="宋体" w:cs="宋体"/>
          <w:sz w:val="28"/>
          <w:szCs w:val="28"/>
        </w:rPr>
      </w:pPr>
      <w:r>
        <w:rPr>
          <w:rFonts w:ascii="宋体" w:hAnsi="宋体" w:cs="宋体"/>
          <w:sz w:val="28"/>
          <w:szCs w:val="28"/>
        </w:rPr>
        <w:t>以上承诺如有违反，请严肃处理，欢迎监督举报！</w:t>
      </w:r>
    </w:p>
    <w:p>
      <w:pPr>
        <w:spacing w:line="360" w:lineRule="auto"/>
        <w:ind w:firstLine="560" w:firstLineChars="200"/>
        <w:rPr>
          <w:rFonts w:ascii="宋体" w:hAnsi="宋体" w:cs="宋体"/>
          <w:sz w:val="28"/>
          <w:szCs w:val="28"/>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widowControl/>
        <w:jc w:val="left"/>
        <w:rPr>
          <w:rFonts w:ascii="宋体" w:hAnsi="宋体" w:cs="宋体"/>
        </w:rPr>
      </w:pPr>
      <w:r>
        <w:rPr>
          <w:rFonts w:ascii="宋体" w:hAnsi="宋体" w:cs="宋体"/>
        </w:rPr>
        <w:br w:type="page"/>
      </w:r>
    </w:p>
    <w:p>
      <w:pPr>
        <w:spacing w:line="360" w:lineRule="auto"/>
        <w:jc w:val="center"/>
        <w:rPr>
          <w:rFonts w:ascii="宋体" w:hAnsi="宋体" w:cs="宋体"/>
          <w:b/>
          <w:bCs/>
          <w:sz w:val="24"/>
        </w:rPr>
      </w:pPr>
      <w:r>
        <w:rPr>
          <w:rFonts w:hint="eastAsia" w:ascii="宋体" w:hAnsi="宋体" w:cs="宋体"/>
          <w:b/>
          <w:bCs/>
          <w:sz w:val="32"/>
          <w:szCs w:val="32"/>
        </w:rPr>
        <w:t>二、参与竞争性磋商声明</w:t>
      </w:r>
      <w:bookmarkEnd w:id="104"/>
      <w:r>
        <w:rPr>
          <w:rFonts w:hint="eastAsia" w:ascii="宋体" w:hAnsi="宋体" w:cs="宋体"/>
          <w:b/>
          <w:bCs/>
          <w:sz w:val="32"/>
          <w:szCs w:val="32"/>
        </w:rPr>
        <w:t>（实质性要求</w:t>
      </w:r>
      <w:r>
        <w:rPr>
          <w:rFonts w:hint="eastAsia" w:ascii="宋体" w:hAnsi="宋体" w:cs="宋体"/>
          <w:b/>
          <w:bCs/>
          <w:sz w:val="24"/>
        </w:rPr>
        <w:t>）</w:t>
      </w:r>
    </w:p>
    <w:p>
      <w:pPr>
        <w:spacing w:line="360" w:lineRule="auto"/>
        <w:rPr>
          <w:rFonts w:ascii="宋体" w:hAnsi="宋体" w:cs="宋体"/>
          <w:bCs/>
          <w:color w:val="000000"/>
          <w:spacing w:val="8"/>
          <w:sz w:val="24"/>
        </w:rPr>
      </w:pPr>
      <w:r>
        <w:rPr>
          <w:rFonts w:hint="eastAsia" w:ascii="宋体" w:hAnsi="宋体" w:cs="宋体"/>
          <w:sz w:val="24"/>
        </w:rPr>
        <w:t>绵竹市中医医院</w:t>
      </w:r>
      <w:r>
        <w:rPr>
          <w:rFonts w:hint="eastAsia" w:ascii="宋体" w:hAnsi="宋体" w:cs="宋体"/>
          <w:bCs/>
          <w:color w:val="000000"/>
          <w:spacing w:val="8"/>
          <w:sz w:val="24"/>
        </w:rPr>
        <w:t>：</w:t>
      </w:r>
    </w:p>
    <w:p>
      <w:pPr>
        <w:pStyle w:val="17"/>
        <w:adjustRightInd/>
        <w:spacing w:line="360" w:lineRule="auto"/>
        <w:rPr>
          <w:rFonts w:hAnsi="宋体" w:cs="宋体"/>
          <w:sz w:val="24"/>
          <w:szCs w:val="24"/>
        </w:rPr>
      </w:pPr>
      <w:r>
        <w:rPr>
          <w:rFonts w:hint="eastAsia" w:hAnsi="宋体" w:cs="宋体"/>
          <w:bCs/>
          <w:color w:val="000000"/>
          <w:spacing w:val="8"/>
          <w:sz w:val="24"/>
        </w:rPr>
        <w:t xml:space="preserve">   </w:t>
      </w:r>
      <w:bookmarkStart w:id="106" w:name="_Hlk150351031"/>
      <w:bookmarkStart w:id="107" w:name="_Hlk150350837"/>
      <w:r>
        <w:rPr>
          <w:rFonts w:hint="eastAsia" w:hAnsi="宋体" w:cs="宋体"/>
          <w:sz w:val="24"/>
          <w:szCs w:val="24"/>
        </w:rPr>
        <w:t>根据你单位竞争性磋商邀请函</w:t>
      </w:r>
      <w:r>
        <w:rPr>
          <w:rFonts w:hint="eastAsia" w:hAnsi="宋体" w:cs="宋体"/>
          <w:bCs/>
          <w:color w:val="000000"/>
          <w:spacing w:val="8"/>
          <w:sz w:val="24"/>
        </w:rPr>
        <w:t>“</w:t>
      </w:r>
      <w:r>
        <w:rPr>
          <w:rFonts w:hint="eastAsia" w:hAnsi="宋体" w:cs="宋体"/>
          <w:b/>
          <w:bCs/>
          <w:color w:val="000000"/>
          <w:spacing w:val="6"/>
          <w:kern w:val="48"/>
          <w:sz w:val="24"/>
          <w:u w:val="single"/>
        </w:rPr>
        <w:t xml:space="preserve">           </w:t>
      </w:r>
      <w:r>
        <w:rPr>
          <w:rFonts w:hint="eastAsia" w:hAnsi="宋体" w:cs="宋体"/>
          <w:sz w:val="24"/>
        </w:rPr>
        <w:t>，</w:t>
      </w:r>
      <w:r>
        <w:rPr>
          <w:rFonts w:hint="eastAsia" w:hAnsi="宋体" w:cs="宋体"/>
          <w:sz w:val="24"/>
          <w:szCs w:val="24"/>
        </w:rPr>
        <w:t>项目编号</w:t>
      </w:r>
      <w:r>
        <w:rPr>
          <w:rFonts w:hint="eastAsia" w:hAnsi="宋体" w:cs="宋体"/>
          <w:sz w:val="24"/>
        </w:rPr>
        <w:t>“</w:t>
      </w:r>
      <w:r>
        <w:rPr>
          <w:rFonts w:hint="eastAsia" w:hAnsi="宋体" w:cs="宋体"/>
          <w:b/>
          <w:color w:val="000000"/>
          <w:spacing w:val="8"/>
          <w:sz w:val="24"/>
          <w:u w:val="single"/>
        </w:rPr>
        <w:t xml:space="preserve">       </w:t>
      </w:r>
      <w:r>
        <w:rPr>
          <w:rFonts w:hint="eastAsia" w:hAnsi="宋体" w:cs="宋体"/>
          <w:bCs/>
          <w:color w:val="000000"/>
          <w:spacing w:val="8"/>
          <w:sz w:val="24"/>
        </w:rPr>
        <w:t>”</w:t>
      </w:r>
      <w:r>
        <w:rPr>
          <w:rFonts w:hint="eastAsia" w:hAnsi="宋体" w:cs="宋体"/>
          <w:sz w:val="24"/>
          <w:szCs w:val="24"/>
        </w:rPr>
        <w:t>项目采购，</w:t>
      </w:r>
      <w:bookmarkEnd w:id="106"/>
      <w:r>
        <w:rPr>
          <w:rFonts w:hint="eastAsia" w:hAnsi="宋体" w:cs="宋体"/>
          <w:sz w:val="24"/>
          <w:szCs w:val="24"/>
        </w:rPr>
        <w:t>我方自愿参加贵公司组织的本次竞争性磋商活动。</w:t>
      </w:r>
      <w:bookmarkEnd w:id="107"/>
      <w:r>
        <w:rPr>
          <w:rFonts w:hint="eastAsia" w:hAnsi="宋体" w:cs="宋体"/>
          <w:sz w:val="24"/>
          <w:szCs w:val="24"/>
        </w:rPr>
        <w:t>为此，我方向贵单位作如下保证：</w:t>
      </w:r>
    </w:p>
    <w:p>
      <w:pPr>
        <w:spacing w:line="360" w:lineRule="auto"/>
        <w:ind w:firstLine="480" w:firstLineChars="200"/>
        <w:rPr>
          <w:rFonts w:ascii="宋体" w:hAnsi="宋体" w:cs="宋体"/>
          <w:sz w:val="24"/>
        </w:rPr>
      </w:pPr>
      <w:r>
        <w:rPr>
          <w:rFonts w:hint="eastAsia" w:ascii="宋体" w:hAnsi="宋体" w:cs="宋体"/>
          <w:sz w:val="24"/>
        </w:rPr>
        <w:t>1、我方将严格遵守《中华人民共和国政府采购法》等有关法规规定。</w:t>
      </w:r>
    </w:p>
    <w:p>
      <w:pPr>
        <w:spacing w:line="360" w:lineRule="auto"/>
        <w:ind w:firstLine="480" w:firstLineChars="200"/>
        <w:rPr>
          <w:rFonts w:ascii="宋体" w:hAnsi="宋体" w:cs="宋体"/>
          <w:sz w:val="24"/>
        </w:rPr>
      </w:pPr>
      <w:r>
        <w:rPr>
          <w:rFonts w:hint="eastAsia" w:ascii="宋体" w:hAnsi="宋体" w:cs="宋体"/>
          <w:sz w:val="24"/>
        </w:rPr>
        <w:t>2、我方已认真阅读磋商文件的全部内容，对本次采购将作出实质性响应，并且不恶意报价（明显高于市场价格或者低于成本价）。</w:t>
      </w:r>
    </w:p>
    <w:p>
      <w:pPr>
        <w:spacing w:line="360" w:lineRule="auto"/>
        <w:ind w:firstLine="480" w:firstLineChars="200"/>
        <w:rPr>
          <w:rFonts w:ascii="宋体" w:hAnsi="宋体" w:cs="宋体"/>
          <w:sz w:val="24"/>
        </w:rPr>
      </w:pPr>
      <w:r>
        <w:rPr>
          <w:rFonts w:hint="eastAsia" w:ascii="宋体" w:hAnsi="宋体" w:cs="宋体"/>
          <w:sz w:val="24"/>
        </w:rPr>
        <w:t>3、我方接受供应商须知的各项要求，自行承担所有与参与本次竞争性磋商有关的费用，承诺其在响应文件有效期限内对我方具有约束力。</w:t>
      </w:r>
    </w:p>
    <w:p>
      <w:pPr>
        <w:spacing w:line="360" w:lineRule="auto"/>
        <w:ind w:firstLine="480" w:firstLineChars="200"/>
        <w:rPr>
          <w:rFonts w:ascii="宋体" w:hAnsi="宋体" w:cs="宋体"/>
          <w:sz w:val="24"/>
        </w:rPr>
      </w:pPr>
      <w:r>
        <w:rPr>
          <w:rFonts w:hint="eastAsia" w:ascii="宋体" w:hAnsi="宋体" w:cs="宋体"/>
          <w:sz w:val="24"/>
        </w:rPr>
        <w:t>4、本声明同时为法定代表人（负责人）授权书性质。授权代表受本公司法定代表人（负责人）委托，为我方参与竞争性磋商活动的合法代表，以我方名义全权处理该项目有关磋商、报价、签订合同以及执行合同等一切事宜。</w:t>
      </w:r>
    </w:p>
    <w:p>
      <w:pPr>
        <w:spacing w:line="360" w:lineRule="auto"/>
        <w:ind w:firstLine="480" w:firstLineChars="200"/>
        <w:rPr>
          <w:rFonts w:ascii="宋体" w:hAnsi="宋体" w:cs="宋体"/>
          <w:sz w:val="24"/>
        </w:rPr>
      </w:pPr>
      <w:r>
        <w:rPr>
          <w:rFonts w:hint="eastAsia" w:ascii="宋体" w:hAnsi="宋体" w:cs="宋体"/>
          <w:sz w:val="24"/>
        </w:rPr>
        <w:t>5、我方同意按照贵单位的要求提供与磋商、报价有关的一切数据和资料，并确保其真实性和合法性，如提供不齐，责任自负。</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bCs/>
          <w:sz w:val="24"/>
        </w:rPr>
        <w:t>本次响应文件有效期为递交磋商响应文件截止之日起90天。</w:t>
      </w:r>
    </w:p>
    <w:p>
      <w:pPr>
        <w:spacing w:line="360" w:lineRule="auto"/>
        <w:ind w:firstLine="480" w:firstLineChars="200"/>
        <w:rPr>
          <w:rFonts w:ascii="宋体" w:hAnsi="宋体" w:cs="宋体"/>
          <w:sz w:val="24"/>
        </w:rPr>
      </w:pPr>
      <w:r>
        <w:rPr>
          <w:rFonts w:hint="eastAsia" w:ascii="宋体" w:hAnsi="宋体" w:cs="宋体"/>
          <w:sz w:val="24"/>
        </w:rPr>
        <w:t>与本次磋商有关的正式通讯为：</w:t>
      </w:r>
    </w:p>
    <w:p>
      <w:pPr>
        <w:spacing w:line="360" w:lineRule="auto"/>
        <w:ind w:firstLine="480" w:firstLineChars="200"/>
        <w:rPr>
          <w:rFonts w:ascii="宋体" w:hAnsi="宋体" w:cs="宋体"/>
          <w:sz w:val="24"/>
        </w:rPr>
      </w:pPr>
      <w:r>
        <w:rPr>
          <w:rFonts w:hint="eastAsia" w:ascii="宋体" w:hAnsi="宋体" w:cs="宋体"/>
          <w:sz w:val="24"/>
        </w:rPr>
        <w:t>地址：                               邮编：</w:t>
      </w:r>
    </w:p>
    <w:p>
      <w:pPr>
        <w:spacing w:line="360" w:lineRule="auto"/>
        <w:ind w:firstLine="480" w:firstLineChars="200"/>
        <w:rPr>
          <w:rFonts w:ascii="宋体" w:hAnsi="宋体" w:cs="宋体"/>
          <w:sz w:val="24"/>
        </w:rPr>
      </w:pPr>
      <w:r>
        <w:rPr>
          <w:rFonts w:hint="eastAsia" w:ascii="宋体" w:hAnsi="宋体" w:cs="宋体"/>
          <w:sz w:val="24"/>
        </w:rPr>
        <w:t>电话：                               传真：</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pStyle w:val="5"/>
        <w:spacing w:before="0" w:after="0"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三、相关证明文件格式</w:t>
      </w:r>
    </w:p>
    <w:p>
      <w:pPr>
        <w:spacing w:line="360" w:lineRule="auto"/>
        <w:jc w:val="center"/>
        <w:rPr>
          <w:rFonts w:ascii="宋体" w:hAnsi="宋体" w:cs="宋体"/>
          <w:b/>
          <w:bCs/>
          <w:sz w:val="24"/>
        </w:rPr>
      </w:pPr>
      <w:r>
        <w:rPr>
          <w:rFonts w:ascii="宋体" w:hAnsi="宋体" w:cs="宋体"/>
          <w:b/>
          <w:bCs/>
          <w:sz w:val="24"/>
        </w:rPr>
        <w:t>3</w:t>
      </w:r>
      <w:r>
        <w:rPr>
          <w:rFonts w:hint="eastAsia" w:ascii="宋体" w:hAnsi="宋体" w:cs="宋体"/>
          <w:b/>
          <w:bCs/>
          <w:sz w:val="24"/>
        </w:rPr>
        <w:t>-1</w:t>
      </w:r>
    </w:p>
    <w:p>
      <w:pPr>
        <w:spacing w:line="360" w:lineRule="auto"/>
        <w:jc w:val="center"/>
        <w:rPr>
          <w:rFonts w:ascii="宋体" w:hAnsi="宋体" w:cs="宋体"/>
          <w:b/>
          <w:bCs/>
          <w:sz w:val="24"/>
        </w:rPr>
      </w:pPr>
      <w:r>
        <w:rPr>
          <w:rFonts w:hint="eastAsia" w:ascii="宋体" w:hAnsi="宋体" w:cs="宋体"/>
          <w:b/>
          <w:bCs/>
          <w:sz w:val="24"/>
        </w:rPr>
        <w:t>法定代表人（负责人）资格证明书</w:t>
      </w:r>
    </w:p>
    <w:p>
      <w:pPr>
        <w:pStyle w:val="14"/>
        <w:spacing w:line="360" w:lineRule="auto"/>
        <w:ind w:firstLine="540" w:firstLineChars="225"/>
        <w:jc w:val="left"/>
        <w:rPr>
          <w:rFonts w:ascii="宋体" w:hAnsi="宋体" w:cs="宋体"/>
          <w:color w:val="000000"/>
          <w:sz w:val="24"/>
          <w:szCs w:val="24"/>
          <w:u w:val="single"/>
        </w:rPr>
      </w:pPr>
      <w:r>
        <w:rPr>
          <w:rFonts w:hint="eastAsia" w:ascii="宋体" w:hAnsi="宋体" w:cs="宋体"/>
          <w:color w:val="000000"/>
          <w:sz w:val="24"/>
          <w:szCs w:val="24"/>
        </w:rPr>
        <w:t>单位名称：</w:t>
      </w:r>
      <w:r>
        <w:rPr>
          <w:rFonts w:hint="eastAsia" w:ascii="宋体" w:hAnsi="宋体" w:cs="宋体"/>
          <w:color w:val="000000"/>
          <w:sz w:val="24"/>
          <w:szCs w:val="24"/>
          <w:u w:val="single"/>
        </w:rPr>
        <w:t xml:space="preserve">                            </w:t>
      </w:r>
    </w:p>
    <w:p>
      <w:pPr>
        <w:pStyle w:val="14"/>
        <w:spacing w:line="360" w:lineRule="auto"/>
        <w:ind w:firstLine="540" w:firstLineChars="225"/>
        <w:jc w:val="left"/>
        <w:rPr>
          <w:rFonts w:ascii="宋体" w:hAnsi="宋体" w:cs="宋体"/>
          <w:color w:val="000000"/>
          <w:sz w:val="24"/>
          <w:szCs w:val="24"/>
          <w:u w:val="single"/>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p>
    <w:p>
      <w:pPr>
        <w:pStyle w:val="14"/>
        <w:spacing w:line="360" w:lineRule="auto"/>
        <w:ind w:firstLine="540" w:firstLineChars="225"/>
        <w:jc w:val="left"/>
        <w:rPr>
          <w:rFonts w:ascii="宋体" w:hAnsi="宋体" w:cs="宋体"/>
          <w:color w:val="000000"/>
          <w:sz w:val="24"/>
          <w:szCs w:val="24"/>
          <w:u w:val="single"/>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p>
    <w:p>
      <w:pPr>
        <w:pStyle w:val="14"/>
        <w:spacing w:line="360" w:lineRule="auto"/>
        <w:ind w:firstLine="540" w:firstLineChars="225"/>
        <w:jc w:val="left"/>
        <w:rPr>
          <w:rFonts w:ascii="宋体" w:hAnsi="宋体" w:cs="宋体"/>
          <w:color w:val="000000"/>
          <w:sz w:val="24"/>
          <w:szCs w:val="24"/>
        </w:rPr>
      </w:pPr>
      <w:r>
        <w:rPr>
          <w:rFonts w:hint="eastAsia" w:ascii="宋体" w:hAnsi="宋体" w:cs="宋体"/>
          <w:color w:val="000000"/>
          <w:sz w:val="24"/>
          <w:szCs w:val="24"/>
        </w:rPr>
        <w:t>本人系</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（供应商名称）的法定代表人（负责人）。就参加贵公司组织的采购编号为</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（采购项目编号）的</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（采购项目名称）竞争性磋商项目的磋商、报价，签署上述项目的响应文件及合同的执行、完成、服务和保修，签署合同和处理与之有关的一切事务。</w:t>
      </w:r>
    </w:p>
    <w:p>
      <w:pPr>
        <w:pStyle w:val="14"/>
        <w:spacing w:line="360" w:lineRule="auto"/>
        <w:ind w:firstLine="540" w:firstLineChars="225"/>
        <w:jc w:val="left"/>
        <w:rPr>
          <w:rFonts w:ascii="宋体" w:hAnsi="宋体" w:cs="宋体"/>
          <w:color w:val="000000"/>
          <w:sz w:val="24"/>
          <w:szCs w:val="24"/>
        </w:rPr>
      </w:pPr>
      <w:r>
        <w:rPr>
          <w:rFonts w:hint="eastAsia" w:ascii="宋体" w:hAnsi="宋体" w:cs="宋体"/>
          <w:color w:val="000000"/>
          <w:sz w:val="24"/>
          <w:szCs w:val="24"/>
        </w:rPr>
        <w:t>特此证明。</w:t>
      </w:r>
    </w:p>
    <w:p>
      <w:pPr>
        <w:pStyle w:val="14"/>
        <w:spacing w:line="360" w:lineRule="auto"/>
        <w:ind w:firstLine="540" w:firstLineChars="225"/>
        <w:jc w:val="left"/>
        <w:rPr>
          <w:rFonts w:ascii="宋体" w:hAnsi="宋体" w:cs="宋体"/>
          <w:color w:val="000000"/>
          <w:sz w:val="24"/>
          <w:szCs w:val="24"/>
        </w:rPr>
      </w:pPr>
    </w:p>
    <w:p>
      <w:pPr>
        <w:pStyle w:val="14"/>
        <w:spacing w:line="360" w:lineRule="auto"/>
        <w:ind w:firstLine="619" w:firstLineChars="257"/>
        <w:jc w:val="center"/>
        <w:rPr>
          <w:rFonts w:ascii="宋体" w:hAnsi="宋体" w:cs="宋体"/>
          <w:b/>
          <w:color w:val="000000"/>
          <w:sz w:val="24"/>
          <w:szCs w:val="24"/>
        </w:rPr>
      </w:pPr>
      <w:r>
        <w:rPr>
          <w:rFonts w:hint="eastAsia" w:ascii="宋体" w:hAnsi="宋体" w:cs="宋体"/>
          <w:b/>
          <w:color w:val="000000"/>
          <w:sz w:val="24"/>
          <w:szCs w:val="24"/>
        </w:rPr>
        <w:t>（※此处请附法定代表人（负责人）身份证明材料正反两面复印件※）</w:t>
      </w:r>
    </w:p>
    <w:p>
      <w:pPr>
        <w:spacing w:line="360" w:lineRule="auto"/>
        <w:rPr>
          <w:rFonts w:ascii="宋体" w:hAnsi="宋体" w:cs="宋体"/>
          <w:sz w:val="24"/>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rPr>
          <w:rFonts w:ascii="宋体" w:hAnsi="宋体" w:cs="宋体"/>
          <w:b/>
          <w:kern w:val="12"/>
          <w:sz w:val="24"/>
        </w:rPr>
      </w:pPr>
      <w:bookmarkStart w:id="108" w:name="_4.6__"/>
      <w:bookmarkEnd w:id="108"/>
      <w:r>
        <w:rPr>
          <w:rFonts w:hint="eastAsia" w:ascii="宋体" w:hAnsi="宋体" w:cs="宋体"/>
          <w:b/>
          <w:kern w:val="12"/>
          <w:sz w:val="24"/>
        </w:rPr>
        <w:t>注意：1、法定代表人（负责人）参加本采购项目磋商的，仅须出具此证明书。</w:t>
      </w:r>
    </w:p>
    <w:p>
      <w:pPr>
        <w:spacing w:line="360" w:lineRule="auto"/>
        <w:ind w:firstLine="723" w:firstLineChars="300"/>
        <w:rPr>
          <w:rFonts w:ascii="宋体" w:hAnsi="宋体" w:cs="宋体"/>
          <w:b/>
          <w:kern w:val="12"/>
          <w:sz w:val="24"/>
        </w:rPr>
      </w:pPr>
      <w:r>
        <w:rPr>
          <w:rFonts w:hint="eastAsia" w:ascii="宋体" w:hAnsi="宋体" w:cs="宋体"/>
          <w:b/>
          <w:kern w:val="12"/>
          <w:sz w:val="24"/>
        </w:rPr>
        <w:t>2、身份证明材料包括居民身份证或居民户口簿或军官证或护照等。</w:t>
      </w:r>
    </w:p>
    <w:p>
      <w:pPr>
        <w:spacing w:line="360" w:lineRule="auto"/>
        <w:ind w:firstLine="723" w:firstLineChars="300"/>
        <w:rPr>
          <w:rFonts w:ascii="宋体" w:hAnsi="宋体" w:cs="宋体"/>
          <w:b/>
          <w:kern w:val="12"/>
          <w:sz w:val="24"/>
        </w:rPr>
      </w:pPr>
      <w:r>
        <w:rPr>
          <w:rFonts w:hint="eastAsia" w:ascii="宋体" w:hAnsi="宋体" w:cs="宋体"/>
          <w:b/>
          <w:kern w:val="12"/>
          <w:sz w:val="24"/>
        </w:rPr>
        <w:t>3、身份证明材料应同时提供其在有效期的材料，如居民身份证正、反面复印件。</w:t>
      </w:r>
    </w:p>
    <w:p>
      <w:pPr>
        <w:spacing w:line="360" w:lineRule="auto"/>
        <w:jc w:val="center"/>
        <w:rPr>
          <w:rFonts w:ascii="宋体" w:hAnsi="宋体" w:cs="宋体"/>
          <w:b/>
          <w:bCs/>
          <w:sz w:val="24"/>
        </w:rPr>
      </w:pPr>
      <w:r>
        <w:rPr>
          <w:rFonts w:hint="eastAsia" w:ascii="宋体" w:hAnsi="宋体" w:cs="宋体"/>
          <w:b/>
          <w:bCs/>
          <w:sz w:val="24"/>
        </w:rPr>
        <w:br w:type="page"/>
      </w:r>
      <w:r>
        <w:rPr>
          <w:rFonts w:ascii="宋体" w:hAnsi="宋体" w:cs="宋体"/>
          <w:b/>
          <w:bCs/>
          <w:sz w:val="24"/>
        </w:rPr>
        <w:t>3</w:t>
      </w:r>
      <w:r>
        <w:rPr>
          <w:rFonts w:hint="eastAsia" w:ascii="宋体" w:hAnsi="宋体" w:cs="宋体"/>
          <w:b/>
          <w:bCs/>
          <w:sz w:val="24"/>
        </w:rPr>
        <w:t>-2</w:t>
      </w:r>
    </w:p>
    <w:p>
      <w:pPr>
        <w:spacing w:line="360" w:lineRule="auto"/>
        <w:jc w:val="center"/>
        <w:rPr>
          <w:rFonts w:ascii="宋体" w:hAnsi="宋体" w:cs="宋体"/>
          <w:b/>
          <w:bCs/>
          <w:sz w:val="24"/>
        </w:rPr>
      </w:pPr>
      <w:r>
        <w:rPr>
          <w:rFonts w:hint="eastAsia" w:ascii="宋体" w:hAnsi="宋体" w:cs="宋体"/>
          <w:b/>
          <w:bCs/>
          <w:sz w:val="24"/>
        </w:rPr>
        <w:t>法定代表人（负责人）授权委托书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本授权书声明：注册于</w:t>
      </w:r>
      <w:r>
        <w:rPr>
          <w:rFonts w:hint="eastAsia" w:ascii="宋体" w:hAnsi="宋体" w:cs="宋体"/>
          <w:color w:val="000000"/>
          <w:sz w:val="24"/>
          <w:u w:val="single"/>
        </w:rPr>
        <w:t xml:space="preserve">           </w:t>
      </w:r>
      <w:r>
        <w:rPr>
          <w:rFonts w:hint="eastAsia" w:ascii="宋体" w:hAnsi="宋体" w:cs="宋体"/>
          <w:color w:val="000000"/>
          <w:sz w:val="24"/>
        </w:rPr>
        <w:t>（注册地点）的</w:t>
      </w:r>
      <w:r>
        <w:rPr>
          <w:rFonts w:hint="eastAsia" w:ascii="宋体" w:hAnsi="宋体" w:cs="宋体"/>
          <w:color w:val="000000"/>
          <w:sz w:val="24"/>
          <w:u w:val="single"/>
        </w:rPr>
        <w:t xml:space="preserve">           </w:t>
      </w:r>
      <w:r>
        <w:rPr>
          <w:rFonts w:hint="eastAsia" w:ascii="宋体" w:hAnsi="宋体" w:cs="宋体"/>
          <w:color w:val="000000"/>
          <w:sz w:val="24"/>
        </w:rPr>
        <w:t>（供应商名称）的</w:t>
      </w:r>
      <w:r>
        <w:rPr>
          <w:rFonts w:hint="eastAsia" w:ascii="宋体" w:hAnsi="宋体" w:cs="宋体"/>
          <w:color w:val="000000"/>
          <w:sz w:val="24"/>
          <w:u w:val="single"/>
        </w:rPr>
        <w:t xml:space="preserve">           </w:t>
      </w:r>
      <w:r>
        <w:rPr>
          <w:rFonts w:hint="eastAsia" w:ascii="宋体" w:hAnsi="宋体" w:cs="宋体"/>
          <w:color w:val="000000"/>
          <w:sz w:val="24"/>
        </w:rPr>
        <w:t>（法定代表人（负责人）姓名与职务）代表本公司授权</w:t>
      </w:r>
      <w:r>
        <w:rPr>
          <w:rFonts w:hint="eastAsia" w:ascii="宋体" w:hAnsi="宋体" w:cs="宋体"/>
          <w:color w:val="000000"/>
          <w:sz w:val="24"/>
          <w:u w:val="single"/>
        </w:rPr>
        <w:t xml:space="preserve">           </w:t>
      </w:r>
      <w:r>
        <w:rPr>
          <w:rFonts w:hint="eastAsia" w:ascii="宋体" w:hAnsi="宋体" w:cs="宋体"/>
          <w:color w:val="000000"/>
          <w:sz w:val="24"/>
        </w:rPr>
        <w:t>（单位名称）的</w:t>
      </w:r>
      <w:r>
        <w:rPr>
          <w:rFonts w:hint="eastAsia" w:ascii="宋体" w:hAnsi="宋体" w:cs="宋体"/>
          <w:color w:val="000000"/>
          <w:sz w:val="24"/>
          <w:u w:val="single"/>
        </w:rPr>
        <w:t xml:space="preserve">           </w:t>
      </w:r>
      <w:r>
        <w:rPr>
          <w:rFonts w:hint="eastAsia" w:ascii="宋体" w:hAnsi="宋体" w:cs="宋体"/>
          <w:color w:val="000000"/>
          <w:sz w:val="24"/>
        </w:rPr>
        <w:t>（被授权人的姓名与职务）为本公司的合法代理人，就参加贵公司组织的采购编号为</w:t>
      </w:r>
      <w:r>
        <w:rPr>
          <w:rFonts w:hint="eastAsia" w:ascii="宋体" w:hAnsi="宋体" w:cs="宋体"/>
          <w:color w:val="000000"/>
          <w:sz w:val="24"/>
          <w:u w:val="single"/>
        </w:rPr>
        <w:t xml:space="preserve">             </w:t>
      </w:r>
      <w:r>
        <w:rPr>
          <w:rFonts w:hint="eastAsia" w:ascii="宋体" w:hAnsi="宋体" w:cs="宋体"/>
          <w:color w:val="000000"/>
          <w:sz w:val="24"/>
        </w:rPr>
        <w:t>（采购项目编号）的</w:t>
      </w:r>
      <w:r>
        <w:rPr>
          <w:rFonts w:hint="eastAsia" w:ascii="宋体" w:hAnsi="宋体" w:cs="宋体"/>
          <w:color w:val="000000"/>
          <w:sz w:val="24"/>
          <w:u w:val="single"/>
        </w:rPr>
        <w:t xml:space="preserve">            </w:t>
      </w:r>
      <w:r>
        <w:rPr>
          <w:rFonts w:hint="eastAsia" w:ascii="宋体" w:hAnsi="宋体" w:cs="宋体"/>
          <w:color w:val="000000"/>
          <w:sz w:val="24"/>
        </w:rPr>
        <w:t>（采购项目名称）竞争性磋商项目的有关应答、签订合同以及合同的执行、完成、服务，以本公司名义处理一切与之有关的事务，由此产生的法律后果由本公司承担。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本授权书于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日签字（或加盖个人名章）生效，无转委权，特此声明。</w:t>
      </w:r>
    </w:p>
    <w:p>
      <w:pPr>
        <w:pStyle w:val="13"/>
        <w:spacing w:after="0" w:line="360" w:lineRule="auto"/>
        <w:ind w:firstLine="560"/>
        <w:rPr>
          <w:rFonts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w:t>
      </w:r>
    </w:p>
    <w:p>
      <w:pPr>
        <w:pStyle w:val="13"/>
        <w:spacing w:after="0" w:line="360" w:lineRule="auto"/>
        <w:ind w:firstLine="560"/>
        <w:rPr>
          <w:rFonts w:ascii="宋体" w:hAnsi="宋体" w:cs="宋体"/>
          <w:color w:val="000000"/>
          <w:sz w:val="24"/>
          <w:u w:val="single"/>
        </w:rPr>
      </w:pPr>
      <w:r>
        <w:rPr>
          <w:rFonts w:hint="eastAsia" w:ascii="宋体" w:hAnsi="宋体" w:cs="宋体"/>
          <w:color w:val="000000"/>
          <w:sz w:val="24"/>
        </w:rPr>
        <w:t>单  位：</w:t>
      </w:r>
      <w:r>
        <w:rPr>
          <w:rFonts w:hint="eastAsia" w:ascii="宋体" w:hAnsi="宋体" w:cs="宋体"/>
          <w:color w:val="000000"/>
          <w:sz w:val="24"/>
          <w:u w:val="single"/>
        </w:rPr>
        <w:t xml:space="preserve">            </w:t>
      </w:r>
      <w:r>
        <w:rPr>
          <w:rFonts w:hint="eastAsia" w:ascii="宋体" w:hAnsi="宋体" w:cs="宋体"/>
          <w:color w:val="000000"/>
          <w:sz w:val="24"/>
        </w:rPr>
        <w:t>部门：</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pPr>
        <w:pStyle w:val="14"/>
        <w:spacing w:line="360" w:lineRule="auto"/>
        <w:ind w:firstLine="619" w:firstLineChars="257"/>
        <w:jc w:val="center"/>
        <w:rPr>
          <w:rFonts w:ascii="宋体" w:hAnsi="宋体" w:cs="宋体"/>
          <w:b/>
          <w:color w:val="000000"/>
          <w:sz w:val="24"/>
          <w:szCs w:val="24"/>
        </w:rPr>
      </w:pPr>
      <w:r>
        <w:rPr>
          <w:rFonts w:hint="eastAsia" w:ascii="宋体" w:hAnsi="宋体" w:cs="宋体"/>
          <w:b/>
          <w:color w:val="000000"/>
          <w:sz w:val="24"/>
          <w:szCs w:val="24"/>
        </w:rPr>
        <w:t>（※此处请附法定代表人（负责人）</w:t>
      </w:r>
      <w:r>
        <w:rPr>
          <w:rFonts w:hint="eastAsia" w:ascii="宋体" w:hAnsi="宋体" w:cs="宋体"/>
          <w:b/>
          <w:color w:val="000000"/>
          <w:sz w:val="24"/>
        </w:rPr>
        <w:t>身份证明材料</w:t>
      </w:r>
      <w:r>
        <w:rPr>
          <w:rFonts w:hint="eastAsia" w:ascii="宋体" w:hAnsi="宋体" w:cs="宋体"/>
          <w:b/>
          <w:color w:val="000000"/>
          <w:sz w:val="24"/>
          <w:szCs w:val="24"/>
        </w:rPr>
        <w:t>正反两面复印件※）</w:t>
      </w:r>
    </w:p>
    <w:p>
      <w:pPr>
        <w:spacing w:line="360" w:lineRule="auto"/>
        <w:rPr>
          <w:rFonts w:ascii="宋体" w:hAnsi="宋体" w:cs="宋体"/>
          <w:sz w:val="24"/>
        </w:rPr>
      </w:pPr>
    </w:p>
    <w:p>
      <w:pPr>
        <w:pStyle w:val="14"/>
        <w:spacing w:line="360" w:lineRule="auto"/>
        <w:ind w:firstLine="482"/>
        <w:rPr>
          <w:rFonts w:ascii="宋体" w:hAnsi="宋体" w:cs="宋体"/>
          <w:b/>
          <w:sz w:val="24"/>
          <w:szCs w:val="24"/>
        </w:rPr>
      </w:pPr>
      <w:r>
        <w:rPr>
          <w:rFonts w:hint="eastAsia" w:ascii="宋体" w:hAnsi="宋体" w:cs="宋体"/>
          <w:b/>
          <w:sz w:val="24"/>
          <w:szCs w:val="24"/>
        </w:rPr>
        <w:t xml:space="preserve">        （※此处请附被授权人</w:t>
      </w:r>
      <w:r>
        <w:rPr>
          <w:rFonts w:hint="eastAsia" w:ascii="宋体" w:hAnsi="宋体" w:cs="宋体"/>
          <w:b/>
          <w:color w:val="000000"/>
          <w:sz w:val="24"/>
        </w:rPr>
        <w:t>身份证明材料</w:t>
      </w:r>
      <w:r>
        <w:rPr>
          <w:rFonts w:hint="eastAsia" w:ascii="宋体" w:hAnsi="宋体" w:cs="宋体"/>
          <w:b/>
          <w:color w:val="000000"/>
          <w:sz w:val="24"/>
          <w:szCs w:val="24"/>
        </w:rPr>
        <w:t>正反两面</w:t>
      </w:r>
      <w:r>
        <w:rPr>
          <w:rFonts w:hint="eastAsia" w:ascii="宋体" w:hAnsi="宋体" w:cs="宋体"/>
          <w:b/>
          <w:sz w:val="24"/>
          <w:szCs w:val="24"/>
        </w:rPr>
        <w:t>复印件※）</w:t>
      </w:r>
    </w:p>
    <w:p>
      <w:pPr>
        <w:spacing w:line="360" w:lineRule="auto"/>
        <w:ind w:firstLine="480" w:firstLineChars="2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pPr>
        <w:spacing w:line="360" w:lineRule="auto"/>
        <w:ind w:firstLine="480" w:firstLineChars="200"/>
        <w:rPr>
          <w:rFonts w:ascii="宋体" w:hAnsi="宋体" w:cs="宋体"/>
          <w:sz w:val="24"/>
        </w:rPr>
      </w:pPr>
      <w:r>
        <w:rPr>
          <w:rFonts w:hint="eastAsia" w:ascii="宋体" w:hAnsi="宋体" w:cs="宋体"/>
          <w:sz w:val="24"/>
        </w:rPr>
        <w:t>法定代表人（负责人）（签字或者加盖个人名章）：</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授权代表（签字或者加盖个人名章）：</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年  月  日</w:t>
      </w:r>
    </w:p>
    <w:p>
      <w:pPr>
        <w:spacing w:line="360" w:lineRule="auto"/>
        <w:rPr>
          <w:rFonts w:ascii="宋体" w:hAnsi="宋体" w:cs="宋体"/>
          <w:b/>
          <w:kern w:val="12"/>
          <w:sz w:val="24"/>
        </w:rPr>
      </w:pPr>
      <w:r>
        <w:rPr>
          <w:rFonts w:hint="eastAsia" w:ascii="宋体" w:hAnsi="宋体" w:cs="宋体"/>
          <w:b/>
          <w:kern w:val="12"/>
          <w:sz w:val="24"/>
        </w:rPr>
        <w:t>注意：1、法定代表人（负责人）的授权委托人参加本采购项目磋商报价的，仅须出具此授权委托书。</w:t>
      </w:r>
    </w:p>
    <w:p>
      <w:pPr>
        <w:spacing w:line="360" w:lineRule="auto"/>
        <w:jc w:val="left"/>
        <w:rPr>
          <w:rFonts w:ascii="宋体" w:hAnsi="宋体" w:cs="宋体"/>
          <w:b/>
          <w:kern w:val="12"/>
          <w:sz w:val="24"/>
        </w:rPr>
      </w:pPr>
      <w:r>
        <w:rPr>
          <w:rFonts w:hint="eastAsia" w:ascii="宋体" w:hAnsi="宋体" w:cs="宋体"/>
          <w:b/>
          <w:kern w:val="12"/>
          <w:sz w:val="24"/>
        </w:rPr>
        <w:t>2、身份证明材料包括居民身份证或居民户口簿或军官证或护照等。</w:t>
      </w:r>
    </w:p>
    <w:p>
      <w:pPr>
        <w:spacing w:line="360" w:lineRule="auto"/>
        <w:jc w:val="left"/>
        <w:rPr>
          <w:rFonts w:ascii="宋体" w:hAnsi="宋体" w:cs="宋体"/>
          <w:b/>
          <w:kern w:val="12"/>
          <w:sz w:val="24"/>
        </w:rPr>
      </w:pPr>
      <w:r>
        <w:rPr>
          <w:rFonts w:hint="eastAsia" w:ascii="宋体" w:hAnsi="宋体" w:cs="宋体"/>
          <w:b/>
          <w:kern w:val="12"/>
          <w:sz w:val="24"/>
        </w:rPr>
        <w:t>3、身份证明材料应同时提供其在有效期的材料，如居民身份证正、反面复印件。</w:t>
      </w:r>
    </w:p>
    <w:p>
      <w:pPr>
        <w:spacing w:line="360" w:lineRule="auto"/>
        <w:jc w:val="center"/>
        <w:outlineLvl w:val="1"/>
        <w:rPr>
          <w:rFonts w:ascii="宋体" w:hAnsi="宋体" w:cs="宋体"/>
          <w:b/>
          <w:sz w:val="32"/>
          <w:szCs w:val="32"/>
        </w:rPr>
      </w:pPr>
      <w:r>
        <w:rPr>
          <w:rFonts w:hint="eastAsia" w:ascii="宋体" w:hAnsi="宋体" w:cs="宋体"/>
          <w:b/>
          <w:kern w:val="12"/>
          <w:sz w:val="24"/>
        </w:rPr>
        <w:br w:type="page"/>
      </w:r>
      <w:r>
        <w:rPr>
          <w:rFonts w:hint="eastAsia" w:ascii="宋体" w:hAnsi="宋体" w:cs="宋体"/>
          <w:b/>
          <w:sz w:val="32"/>
          <w:szCs w:val="32"/>
        </w:rPr>
        <w:t>四、资格性承诺函</w:t>
      </w:r>
    </w:p>
    <w:p>
      <w:pPr>
        <w:widowControl/>
        <w:spacing w:line="360" w:lineRule="auto"/>
        <w:jc w:val="center"/>
        <w:rPr>
          <w:rFonts w:ascii="宋体" w:hAnsi="宋体" w:cs="宋体"/>
          <w:b/>
          <w:sz w:val="24"/>
        </w:rPr>
      </w:pPr>
    </w:p>
    <w:p>
      <w:pPr>
        <w:widowControl/>
        <w:spacing w:line="360" w:lineRule="auto"/>
        <w:jc w:val="left"/>
        <w:rPr>
          <w:rFonts w:ascii="宋体" w:hAnsi="宋体" w:cs="宋体"/>
          <w:sz w:val="24"/>
        </w:rPr>
      </w:pPr>
      <w:r>
        <w:rPr>
          <w:rFonts w:hint="eastAsia" w:ascii="宋体" w:hAnsi="宋体" w:cs="宋体"/>
          <w:bCs/>
          <w:sz w:val="24"/>
          <w:u w:val="single"/>
        </w:rPr>
        <w:t xml:space="preserve"> </w:t>
      </w:r>
      <w:r>
        <w:rPr>
          <w:rFonts w:hint="eastAsia" w:ascii="宋体" w:hAnsi="宋体" w:cs="宋体"/>
          <w:sz w:val="24"/>
          <w:u w:val="single"/>
        </w:rPr>
        <w:t xml:space="preserve">绵竹市中医医院 </w:t>
      </w:r>
      <w:r>
        <w:rPr>
          <w:rFonts w:hint="eastAsia" w:ascii="宋体" w:hAnsi="宋体" w:cs="宋体"/>
          <w:sz w:val="24"/>
        </w:rPr>
        <w:t>：</w:t>
      </w:r>
    </w:p>
    <w:p>
      <w:pPr>
        <w:widowControl/>
        <w:spacing w:line="360" w:lineRule="auto"/>
        <w:ind w:firstLine="480" w:firstLineChars="200"/>
        <w:jc w:val="left"/>
        <w:rPr>
          <w:rFonts w:ascii="宋体" w:hAnsi="宋体" w:cs="宋体"/>
          <w:sz w:val="24"/>
        </w:rPr>
      </w:pPr>
      <w:r>
        <w:rPr>
          <w:rFonts w:hint="eastAsia" w:ascii="宋体" w:hAnsi="宋体" w:cs="宋体"/>
          <w:sz w:val="24"/>
        </w:rPr>
        <w:t>我单位作为本次采购项目的供应商，根据采购文件要求，现郑重承诺如下：</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一、具备《中华人民共和国政府采购法》第二十二条第一款和本项目规定的条件：</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（一）具有独立承担民事责任的能力； </w:t>
      </w:r>
      <w:r>
        <w:rPr>
          <w:rFonts w:hint="eastAsia" w:ascii="宋体" w:hAnsi="宋体" w:cs="宋体"/>
          <w:sz w:val="24"/>
        </w:rPr>
        <w:br w:type="textWrapping"/>
      </w:r>
      <w:r>
        <w:rPr>
          <w:rFonts w:hint="eastAsia" w:ascii="宋体" w:hAnsi="宋体" w:cs="宋体"/>
          <w:sz w:val="24"/>
        </w:rPr>
        <w:t xml:space="preserve">　　（二）具有良好的商业信誉和健全的财务会计制度； </w:t>
      </w:r>
      <w:r>
        <w:rPr>
          <w:rFonts w:hint="eastAsia" w:ascii="宋体" w:hAnsi="宋体" w:cs="宋体"/>
          <w:sz w:val="24"/>
        </w:rPr>
        <w:br w:type="textWrapping"/>
      </w:r>
      <w:r>
        <w:rPr>
          <w:rFonts w:hint="eastAsia" w:ascii="宋体" w:hAnsi="宋体" w:cs="宋体"/>
          <w:sz w:val="24"/>
        </w:rPr>
        <w:t xml:space="preserve">　　（三）具有履行合同所必需的设备和专业技术能力； </w:t>
      </w:r>
      <w:r>
        <w:rPr>
          <w:rFonts w:hint="eastAsia" w:ascii="宋体" w:hAnsi="宋体" w:cs="宋体"/>
          <w:sz w:val="24"/>
        </w:rPr>
        <w:br w:type="textWrapping"/>
      </w:r>
      <w:r>
        <w:rPr>
          <w:rFonts w:hint="eastAsia" w:ascii="宋体" w:hAnsi="宋体" w:cs="宋体"/>
          <w:sz w:val="24"/>
        </w:rPr>
        <w:t xml:space="preserve">　　（四）有依法缴纳税收和社会保障资金的良好记录； </w:t>
      </w:r>
      <w:r>
        <w:rPr>
          <w:rFonts w:hint="eastAsia" w:ascii="宋体" w:hAnsi="宋体" w:cs="宋体"/>
          <w:sz w:val="24"/>
        </w:rPr>
        <w:br w:type="textWrapping"/>
      </w:r>
      <w:r>
        <w:rPr>
          <w:rFonts w:hint="eastAsia" w:ascii="宋体" w:hAnsi="宋体" w:cs="宋体"/>
          <w:sz w:val="24"/>
        </w:rPr>
        <w:t>　　（五）参加政府采购活动前三年内，在经营活动中没有重大违法记录；（公司成立不足三年的从成立之日起算）</w:t>
      </w:r>
    </w:p>
    <w:p>
      <w:pPr>
        <w:widowControl/>
        <w:spacing w:line="360" w:lineRule="auto"/>
        <w:ind w:firstLine="480" w:firstLineChars="200"/>
        <w:jc w:val="left"/>
        <w:rPr>
          <w:rFonts w:ascii="宋体" w:hAnsi="宋体" w:cs="宋体"/>
          <w:sz w:val="24"/>
        </w:rPr>
      </w:pPr>
      <w:r>
        <w:rPr>
          <w:rFonts w:hint="eastAsia" w:ascii="宋体" w:hAnsi="宋体" w:cs="宋体"/>
          <w:sz w:val="24"/>
        </w:rPr>
        <w:t>（六）法律、行政法规规定的其他条件；</w:t>
      </w:r>
    </w:p>
    <w:p>
      <w:pPr>
        <w:widowControl/>
        <w:spacing w:line="360" w:lineRule="auto"/>
        <w:ind w:firstLine="480" w:firstLineChars="200"/>
        <w:jc w:val="left"/>
        <w:rPr>
          <w:rFonts w:ascii="宋体" w:hAnsi="宋体" w:cs="宋体"/>
          <w:sz w:val="24"/>
        </w:rPr>
      </w:pPr>
      <w:r>
        <w:rPr>
          <w:rFonts w:hint="eastAsia" w:ascii="宋体" w:hAnsi="宋体" w:cs="宋体"/>
          <w:sz w:val="24"/>
        </w:rPr>
        <w:t>（七）根据国务院办公厅关于加快推进“多证合一”改革的指导意见(国办发〔2017〕41号)等政策要求，若资格要求涉及的登记、备案等有关事项和各类证照已实行多证合一导致我方无法提供该类证明材料的，我方承诺满足磋商文件资格要求。（此条针对资格要求如涉及的登记、备案等有关事项和各类证照已实行多证合一导致供应商无法提供该类证明材料的，供应商提供该承诺）</w:t>
      </w:r>
    </w:p>
    <w:p>
      <w:pPr>
        <w:spacing w:line="360" w:lineRule="auto"/>
        <w:ind w:firstLine="480" w:firstLineChars="200"/>
      </w:pPr>
      <w:r>
        <w:rPr>
          <w:rFonts w:hint="eastAsia" w:ascii="宋体" w:hAnsi="宋体" w:cs="宋体"/>
          <w:sz w:val="24"/>
        </w:rPr>
        <w:t>（八）我单位符合国家或行业主管部门要求的资格资质条件等强制性规定。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本单位对上述承诺的内容事项真实性负责。如经</w:t>
      </w:r>
      <w:r>
        <w:rPr>
          <w:rFonts w:hint="eastAsia" w:ascii="宋体" w:hAnsi="宋体" w:cs="宋体"/>
          <w:sz w:val="24"/>
        </w:rPr>
        <w:t>查实上述承诺的内容事项存在虚假，我公司愿意接受以提供虚假材料谋取成交的法</w:t>
      </w:r>
      <w:r>
        <w:rPr>
          <w:rFonts w:hint="eastAsia" w:ascii="宋体" w:hAnsi="宋体" w:cs="宋体"/>
          <w:color w:val="000000"/>
          <w:sz w:val="24"/>
        </w:rPr>
        <w:t>律责任。</w:t>
      </w:r>
    </w:p>
    <w:p>
      <w:pPr>
        <w:widowControl/>
        <w:spacing w:line="360" w:lineRule="auto"/>
        <w:jc w:val="left"/>
        <w:rPr>
          <w:rFonts w:ascii="宋体" w:hAnsi="宋体" w:cs="宋体"/>
          <w:sz w:val="24"/>
        </w:rPr>
      </w:pPr>
      <w:r>
        <w:rPr>
          <w:rFonts w:hint="eastAsia" w:ascii="宋体" w:hAnsi="宋体" w:cs="宋体"/>
          <w:sz w:val="24"/>
        </w:rPr>
        <w:t xml:space="preserve">       </w:t>
      </w: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widowControl/>
        <w:spacing w:line="360" w:lineRule="auto"/>
        <w:jc w:val="center"/>
        <w:outlineLvl w:val="1"/>
        <w:rPr>
          <w:rFonts w:ascii="宋体" w:hAnsi="宋体" w:cs="宋体"/>
          <w:b/>
          <w:bCs/>
          <w:color w:val="000000"/>
          <w:sz w:val="36"/>
          <w:szCs w:val="48"/>
          <w:u w:val="thick"/>
        </w:rPr>
      </w:pPr>
      <w:r>
        <w:rPr>
          <w:rFonts w:hint="eastAsia" w:ascii="宋体" w:hAnsi="宋体" w:cs="宋体"/>
          <w:b/>
          <w:bCs/>
          <w:sz w:val="32"/>
          <w:szCs w:val="32"/>
        </w:rPr>
        <w:br w:type="page"/>
      </w:r>
      <w:r>
        <w:rPr>
          <w:rFonts w:hint="eastAsia" w:ascii="宋体" w:hAnsi="宋体" w:cs="宋体"/>
          <w:b/>
          <w:color w:val="000000"/>
          <w:spacing w:val="8"/>
          <w:sz w:val="32"/>
          <w:szCs w:val="32"/>
        </w:rPr>
        <w:t>五、具有独立承担民事责任能力的证明材料</w:t>
      </w:r>
      <w:r>
        <w:rPr>
          <w:rFonts w:hint="eastAsia" w:ascii="宋体" w:hAnsi="宋体" w:cs="宋体"/>
          <w:bCs/>
          <w:sz w:val="24"/>
        </w:rPr>
        <w:t>（根据磋商文件第四章要求提供）</w:t>
      </w:r>
    </w:p>
    <w:p>
      <w:pPr>
        <w:spacing w:line="360" w:lineRule="auto"/>
        <w:rPr>
          <w:rFonts w:ascii="宋体" w:hAnsi="宋体" w:cs="宋体"/>
          <w:b/>
          <w:bCs/>
          <w:color w:val="000000"/>
          <w:sz w:val="36"/>
          <w:szCs w:val="48"/>
          <w:u w:val="thick"/>
        </w:rPr>
      </w:pPr>
    </w:p>
    <w:p>
      <w:pPr>
        <w:widowControl/>
        <w:spacing w:line="360" w:lineRule="auto"/>
        <w:jc w:val="center"/>
        <w:outlineLvl w:val="1"/>
        <w:rPr>
          <w:rFonts w:ascii="宋体" w:hAnsi="宋体" w:cs="宋体"/>
          <w:b/>
          <w:bCs/>
          <w:color w:val="000000"/>
          <w:sz w:val="30"/>
          <w:szCs w:val="30"/>
        </w:rPr>
      </w:pPr>
      <w:r>
        <w:rPr>
          <w:rFonts w:hint="eastAsia" w:ascii="宋体" w:hAnsi="宋体" w:cs="宋体"/>
          <w:b/>
          <w:bCs/>
          <w:color w:val="000000"/>
          <w:sz w:val="32"/>
          <w:szCs w:val="32"/>
        </w:rPr>
        <w:br w:type="page"/>
      </w:r>
      <w:r>
        <w:rPr>
          <w:rFonts w:hint="eastAsia" w:ascii="宋体" w:hAnsi="宋体" w:cs="宋体"/>
          <w:b/>
          <w:bCs/>
          <w:color w:val="000000"/>
          <w:sz w:val="32"/>
          <w:szCs w:val="32"/>
        </w:rPr>
        <w:t>六、</w:t>
      </w:r>
      <w:r>
        <w:rPr>
          <w:rFonts w:hint="eastAsia" w:ascii="宋体" w:hAnsi="宋体" w:cs="宋体"/>
          <w:b/>
          <w:sz w:val="32"/>
          <w:szCs w:val="32"/>
        </w:rPr>
        <w:t>具有商业信誉和健全的财务会计制度的证明材料</w:t>
      </w:r>
      <w:r>
        <w:rPr>
          <w:rFonts w:hint="eastAsia" w:ascii="宋体" w:hAnsi="宋体" w:cs="宋体"/>
          <w:bCs/>
          <w:sz w:val="24"/>
        </w:rPr>
        <w:t>（根据磋商文件第四章要求提供）</w:t>
      </w:r>
    </w:p>
    <w:p>
      <w:pPr>
        <w:spacing w:line="360" w:lineRule="auto"/>
        <w:rPr>
          <w:rFonts w:ascii="宋体" w:hAnsi="宋体" w:cs="宋体"/>
          <w:b/>
          <w:bCs/>
          <w:color w:val="000000"/>
          <w:sz w:val="30"/>
          <w:szCs w:val="30"/>
        </w:rPr>
      </w:pPr>
    </w:p>
    <w:p>
      <w:pPr>
        <w:widowControl/>
        <w:spacing w:line="360" w:lineRule="auto"/>
        <w:jc w:val="center"/>
        <w:outlineLvl w:val="1"/>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七、提供具有履行合同所必需的设备和专业技术能力承诺函</w:t>
      </w:r>
      <w:r>
        <w:rPr>
          <w:rFonts w:hint="eastAsia" w:ascii="宋体" w:hAnsi="宋体" w:cs="宋体"/>
          <w:bCs/>
          <w:sz w:val="24"/>
        </w:rPr>
        <w:t>（根据磋商文件第四章要求提供）</w:t>
      </w:r>
    </w:p>
    <w:p>
      <w:pPr>
        <w:widowControl/>
        <w:spacing w:line="360" w:lineRule="auto"/>
        <w:jc w:val="center"/>
        <w:outlineLvl w:val="1"/>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八、</w:t>
      </w:r>
      <w:r>
        <w:rPr>
          <w:rFonts w:hint="eastAsia" w:ascii="宋体" w:hAnsi="宋体" w:cs="宋体"/>
          <w:b/>
          <w:sz w:val="32"/>
          <w:szCs w:val="32"/>
        </w:rPr>
        <w:t>有依法缴纳税收和社会保障资金的良好记录的证明材料或承诺函</w:t>
      </w:r>
      <w:r>
        <w:rPr>
          <w:rFonts w:hint="eastAsia" w:ascii="宋体" w:hAnsi="宋体" w:cs="宋体"/>
          <w:bCs/>
          <w:sz w:val="24"/>
        </w:rPr>
        <w:t>（根据磋商文件第四章要求提供）</w:t>
      </w:r>
    </w:p>
    <w:p>
      <w:pPr>
        <w:spacing w:line="360" w:lineRule="auto"/>
        <w:rPr>
          <w:rFonts w:ascii="宋体" w:hAnsi="宋体" w:cs="宋体"/>
        </w:rPr>
      </w:pPr>
    </w:p>
    <w:p>
      <w:pPr>
        <w:widowControl/>
        <w:spacing w:line="360" w:lineRule="auto"/>
        <w:jc w:val="center"/>
        <w:outlineLvl w:val="1"/>
        <w:rPr>
          <w:rFonts w:ascii="宋体" w:hAnsi="宋体" w:cs="宋体"/>
          <w:b/>
          <w:sz w:val="28"/>
          <w:szCs w:val="28"/>
        </w:rPr>
      </w:pPr>
      <w:r>
        <w:rPr>
          <w:rFonts w:hint="eastAsia" w:ascii="宋体" w:hAnsi="宋体" w:cs="宋体"/>
          <w:b/>
          <w:bCs/>
          <w:sz w:val="32"/>
          <w:szCs w:val="32"/>
        </w:rPr>
        <w:br w:type="page"/>
      </w:r>
      <w:r>
        <w:rPr>
          <w:rFonts w:hint="eastAsia" w:ascii="宋体" w:hAnsi="宋体" w:cs="宋体"/>
          <w:b/>
          <w:bCs/>
          <w:sz w:val="32"/>
          <w:szCs w:val="32"/>
        </w:rPr>
        <w:t>九、</w:t>
      </w:r>
      <w:r>
        <w:rPr>
          <w:rFonts w:hint="eastAsia" w:ascii="宋体" w:hAnsi="宋体" w:cs="宋体"/>
          <w:b/>
          <w:sz w:val="32"/>
          <w:szCs w:val="32"/>
        </w:rPr>
        <w:t>参加本次政府采购活动前三年内，在经营活动中没有重大违法记录的承诺函</w:t>
      </w:r>
      <w:r>
        <w:rPr>
          <w:rFonts w:hint="eastAsia" w:ascii="宋体" w:hAnsi="宋体" w:cs="宋体"/>
          <w:bCs/>
          <w:sz w:val="24"/>
        </w:rPr>
        <w:t>（根据磋商文件第四章要求提供）</w:t>
      </w:r>
    </w:p>
    <w:p>
      <w:pPr>
        <w:widowControl/>
        <w:spacing w:line="360" w:lineRule="auto"/>
        <w:jc w:val="center"/>
        <w:outlineLvl w:val="1"/>
        <w:rPr>
          <w:rFonts w:ascii="宋体" w:hAnsi="宋体" w:cs="宋体"/>
        </w:rPr>
      </w:pPr>
      <w:r>
        <w:rPr>
          <w:rFonts w:hint="eastAsia" w:ascii="宋体" w:hAnsi="宋体" w:cs="宋体"/>
          <w:b/>
          <w:sz w:val="32"/>
          <w:szCs w:val="32"/>
        </w:rPr>
        <w:br w:type="page"/>
      </w:r>
      <w:r>
        <w:rPr>
          <w:rFonts w:hint="eastAsia" w:ascii="宋体" w:hAnsi="宋体" w:cs="宋体"/>
          <w:b/>
          <w:sz w:val="32"/>
          <w:szCs w:val="32"/>
        </w:rPr>
        <w:t>十、具备法律、行政法规规定的其他条件的承诺函</w:t>
      </w:r>
      <w:r>
        <w:rPr>
          <w:rFonts w:hint="eastAsia" w:ascii="宋体" w:hAnsi="宋体" w:cs="宋体"/>
          <w:bCs/>
          <w:sz w:val="24"/>
        </w:rPr>
        <w:t>（根据磋商文件第四章要求提供）</w:t>
      </w:r>
    </w:p>
    <w:p>
      <w:pPr>
        <w:pStyle w:val="5"/>
        <w:spacing w:before="0" w:after="0" w:line="360" w:lineRule="auto"/>
        <w:rPr>
          <w:rFonts w:ascii="宋体" w:hAnsi="宋体" w:eastAsia="宋体" w:cs="宋体"/>
        </w:rPr>
      </w:pPr>
      <w:r>
        <w:rPr>
          <w:rFonts w:hint="eastAsia" w:ascii="宋体" w:hAnsi="宋体" w:eastAsia="宋体" w:cs="宋体"/>
          <w:bCs w:val="0"/>
        </w:rPr>
        <w:br w:type="page"/>
      </w:r>
      <w:r>
        <w:rPr>
          <w:rFonts w:hint="eastAsia" w:ascii="宋体" w:hAnsi="宋体" w:eastAsia="宋体" w:cs="宋体"/>
          <w:bCs w:val="0"/>
        </w:rPr>
        <w:t>十一、第四章规定的其他相关证明材料（格式自拟）……</w:t>
      </w:r>
    </w:p>
    <w:p>
      <w:pPr>
        <w:spacing w:line="360" w:lineRule="auto"/>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其他响应文件封面</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ind w:firstLine="6552" w:firstLineChars="1813"/>
        <w:rPr>
          <w:rFonts w:ascii="宋体" w:hAnsi="宋体" w:cs="宋体"/>
          <w:b/>
          <w:sz w:val="36"/>
          <w:szCs w:val="36"/>
          <w:bdr w:val="single" w:color="auto" w:sz="4" w:space="0"/>
        </w:rPr>
      </w:pPr>
      <w:r>
        <w:rPr>
          <w:rFonts w:hint="eastAsia" w:ascii="宋体" w:hAnsi="宋体" w:cs="宋体"/>
          <w:b/>
          <w:sz w:val="36"/>
          <w:szCs w:val="36"/>
          <w:bdr w:val="single" w:color="auto" w:sz="4" w:space="0"/>
        </w:rPr>
        <w:t>正/副  本</w:t>
      </w:r>
    </w:p>
    <w:p>
      <w:pPr>
        <w:pStyle w:val="5"/>
        <w:spacing w:before="0" w:after="0" w:line="360" w:lineRule="auto"/>
        <w:jc w:val="center"/>
        <w:rPr>
          <w:rFonts w:ascii="宋体" w:hAnsi="宋体" w:eastAsia="宋体" w:cs="宋体"/>
          <w:sz w:val="44"/>
          <w:szCs w:val="44"/>
        </w:rPr>
      </w:pPr>
      <w:bookmarkStart w:id="109" w:name="_Toc321063834"/>
      <w:r>
        <w:rPr>
          <w:rFonts w:hint="eastAsia" w:ascii="宋体" w:hAnsi="宋体" w:eastAsia="宋体" w:cs="宋体"/>
          <w:sz w:val="44"/>
          <w:szCs w:val="44"/>
        </w:rPr>
        <w:t>其他响应文件</w:t>
      </w:r>
      <w:bookmarkEnd w:id="109"/>
    </w:p>
    <w:p>
      <w:pPr>
        <w:spacing w:line="360" w:lineRule="auto"/>
        <w:rPr>
          <w:rFonts w:ascii="宋体" w:hAnsi="宋体" w:cs="宋体"/>
          <w:b/>
          <w:bCs/>
          <w:sz w:val="48"/>
        </w:rPr>
      </w:pPr>
    </w:p>
    <w:p>
      <w:pPr>
        <w:spacing w:line="360" w:lineRule="auto"/>
        <w:ind w:firstLine="482" w:firstLineChars="100"/>
        <w:rPr>
          <w:rFonts w:ascii="宋体" w:hAnsi="宋体" w:cs="宋体"/>
          <w:b/>
          <w:bCs/>
          <w:sz w:val="48"/>
        </w:rPr>
      </w:pPr>
    </w:p>
    <w:p>
      <w:pPr>
        <w:spacing w:line="360" w:lineRule="auto"/>
        <w:ind w:firstLine="482" w:firstLineChars="100"/>
        <w:rPr>
          <w:rFonts w:ascii="宋体" w:hAnsi="宋体" w:cs="宋体"/>
          <w:b/>
          <w:bCs/>
          <w:sz w:val="48"/>
          <w:u w:val="single"/>
        </w:rPr>
      </w:pPr>
      <w:r>
        <w:rPr>
          <w:rFonts w:hint="eastAsia" w:ascii="宋体" w:hAnsi="宋体" w:cs="宋体"/>
          <w:b/>
          <w:bCs/>
          <w:sz w:val="48"/>
        </w:rPr>
        <w:t>采购项目名称：</w:t>
      </w:r>
      <w:r>
        <w:rPr>
          <w:rFonts w:hint="eastAsia" w:ascii="宋体" w:hAnsi="宋体" w:cs="宋体"/>
          <w:b/>
          <w:bCs/>
          <w:sz w:val="48"/>
          <w:u w:val="single"/>
        </w:rPr>
        <w:t xml:space="preserve">                   </w:t>
      </w:r>
    </w:p>
    <w:p>
      <w:pPr>
        <w:spacing w:line="360" w:lineRule="auto"/>
        <w:rPr>
          <w:rFonts w:ascii="宋体" w:hAnsi="宋体" w:cs="宋体"/>
          <w:b/>
          <w:bCs/>
          <w:sz w:val="48"/>
          <w:u w:val="single"/>
        </w:rPr>
      </w:pPr>
      <w:r>
        <w:rPr>
          <w:rFonts w:hint="eastAsia" w:ascii="宋体" w:hAnsi="宋体" w:cs="宋体"/>
          <w:b/>
          <w:bCs/>
          <w:sz w:val="44"/>
          <w:szCs w:val="44"/>
        </w:rPr>
        <w:t xml:space="preserve">  </w:t>
      </w:r>
      <w:r>
        <w:rPr>
          <w:rFonts w:hint="eastAsia" w:ascii="宋体" w:hAnsi="宋体" w:cs="宋体"/>
          <w:b/>
          <w:bCs/>
          <w:sz w:val="48"/>
        </w:rPr>
        <w:t>采购文件编号：</w:t>
      </w:r>
      <w:r>
        <w:rPr>
          <w:rFonts w:hint="eastAsia" w:ascii="宋体" w:hAnsi="宋体" w:cs="宋体"/>
          <w:b/>
          <w:bCs/>
          <w:sz w:val="48"/>
          <w:u w:val="single"/>
        </w:rPr>
        <w:t xml:space="preserve">                   </w:t>
      </w:r>
    </w:p>
    <w:p>
      <w:pPr>
        <w:spacing w:line="360" w:lineRule="auto"/>
        <w:ind w:firstLine="482" w:firstLineChars="100"/>
        <w:rPr>
          <w:rFonts w:ascii="宋体" w:hAnsi="宋体" w:cs="宋体"/>
          <w:b/>
          <w:bCs/>
          <w:sz w:val="48"/>
          <w:u w:val="single"/>
        </w:rPr>
      </w:pPr>
      <w:r>
        <w:rPr>
          <w:rFonts w:hint="eastAsia" w:ascii="宋体" w:hAnsi="宋体" w:cs="宋体"/>
          <w:b/>
          <w:bCs/>
          <w:sz w:val="48"/>
        </w:rPr>
        <w:t>供应商名称</w:t>
      </w:r>
      <w:r>
        <w:rPr>
          <w:rFonts w:hint="eastAsia" w:ascii="宋体" w:hAnsi="宋体" w:cs="宋体"/>
          <w:b/>
          <w:bCs/>
          <w:sz w:val="32"/>
          <w:szCs w:val="32"/>
        </w:rPr>
        <w:t>（盖单位公章）</w:t>
      </w:r>
      <w:r>
        <w:rPr>
          <w:rFonts w:hint="eastAsia" w:ascii="宋体" w:hAnsi="宋体" w:cs="宋体"/>
          <w:sz w:val="48"/>
        </w:rPr>
        <w:t>：</w:t>
      </w:r>
      <w:r>
        <w:rPr>
          <w:rFonts w:hint="eastAsia" w:ascii="宋体" w:hAnsi="宋体" w:cs="宋体"/>
          <w:b/>
          <w:bCs/>
          <w:sz w:val="48"/>
          <w:u w:val="single"/>
        </w:rPr>
        <w:t xml:space="preserve">             </w:t>
      </w:r>
    </w:p>
    <w:p>
      <w:pPr>
        <w:spacing w:line="360" w:lineRule="auto"/>
        <w:ind w:firstLine="482" w:firstLineChars="100"/>
        <w:rPr>
          <w:rFonts w:ascii="宋体" w:hAnsi="宋体" w:cs="宋体"/>
          <w:sz w:val="48"/>
        </w:rPr>
      </w:pPr>
      <w:r>
        <w:rPr>
          <w:rFonts w:hint="eastAsia" w:ascii="宋体" w:hAnsi="宋体" w:cs="宋体"/>
          <w:b/>
          <w:bCs/>
          <w:sz w:val="48"/>
        </w:rPr>
        <w:t>法定代表人（负责人）或其代理人</w:t>
      </w:r>
      <w:r>
        <w:rPr>
          <w:rFonts w:hint="eastAsia" w:ascii="宋体" w:hAnsi="宋体" w:cs="宋体"/>
          <w:b/>
          <w:bCs/>
          <w:sz w:val="32"/>
          <w:szCs w:val="32"/>
        </w:rPr>
        <w:t>（签字或者加盖个人名章）：</w:t>
      </w:r>
      <w:r>
        <w:rPr>
          <w:rFonts w:hint="eastAsia" w:ascii="宋体" w:hAnsi="宋体" w:cs="宋体"/>
          <w:b/>
          <w:bCs/>
          <w:sz w:val="48"/>
          <w:u w:val="single"/>
        </w:rPr>
        <w:t xml:space="preserve">                          </w:t>
      </w:r>
    </w:p>
    <w:p>
      <w:pPr>
        <w:spacing w:line="360" w:lineRule="auto"/>
        <w:rPr>
          <w:rFonts w:ascii="宋体" w:hAnsi="宋体" w:cs="宋体"/>
          <w:b/>
          <w:bCs/>
          <w:sz w:val="44"/>
          <w:szCs w:val="44"/>
        </w:rPr>
      </w:pPr>
      <w:r>
        <w:rPr>
          <w:rFonts w:hint="eastAsia" w:ascii="宋体" w:hAnsi="宋体" w:cs="宋体"/>
          <w:b/>
          <w:bCs/>
          <w:sz w:val="44"/>
          <w:szCs w:val="44"/>
        </w:rPr>
        <w:t xml:space="preserve">  </w:t>
      </w:r>
    </w:p>
    <w:p>
      <w:pPr>
        <w:spacing w:line="360" w:lineRule="auto"/>
        <w:ind w:firstLine="482" w:firstLineChars="100"/>
        <w:rPr>
          <w:rFonts w:ascii="宋体" w:hAnsi="宋体" w:cs="宋体"/>
          <w:b/>
          <w:bCs/>
          <w:sz w:val="30"/>
          <w:szCs w:val="30"/>
        </w:rPr>
      </w:pPr>
      <w:r>
        <w:rPr>
          <w:rFonts w:hint="eastAsia" w:ascii="宋体" w:hAnsi="宋体" w:cs="宋体"/>
          <w:b/>
          <w:bCs/>
          <w:sz w:val="48"/>
        </w:rPr>
        <w:t>日    期：</w:t>
      </w:r>
      <w:r>
        <w:rPr>
          <w:rFonts w:hint="eastAsia" w:ascii="宋体" w:hAnsi="宋体" w:cs="宋体"/>
          <w:b/>
          <w:bCs/>
          <w:sz w:val="48"/>
          <w:u w:val="single"/>
        </w:rPr>
        <w:t xml:space="preserve">      </w:t>
      </w:r>
      <w:r>
        <w:rPr>
          <w:rFonts w:hint="eastAsia" w:ascii="宋体" w:hAnsi="宋体" w:cs="宋体"/>
          <w:b/>
          <w:bCs/>
          <w:sz w:val="48"/>
        </w:rPr>
        <w:t>年</w:t>
      </w:r>
      <w:r>
        <w:rPr>
          <w:rFonts w:hint="eastAsia" w:ascii="宋体" w:hAnsi="宋体" w:cs="宋体"/>
          <w:b/>
          <w:bCs/>
          <w:sz w:val="48"/>
          <w:u w:val="single"/>
        </w:rPr>
        <w:t xml:space="preserve">    </w:t>
      </w:r>
      <w:r>
        <w:rPr>
          <w:rFonts w:hint="eastAsia" w:ascii="宋体" w:hAnsi="宋体" w:cs="宋体"/>
          <w:b/>
          <w:bCs/>
          <w:sz w:val="48"/>
        </w:rPr>
        <w:t>月</w:t>
      </w:r>
      <w:r>
        <w:rPr>
          <w:rFonts w:hint="eastAsia" w:ascii="宋体" w:hAnsi="宋体" w:cs="宋体"/>
          <w:b/>
          <w:bCs/>
          <w:sz w:val="48"/>
          <w:u w:val="single"/>
        </w:rPr>
        <w:t xml:space="preserve">     </w:t>
      </w:r>
      <w:r>
        <w:rPr>
          <w:rFonts w:hint="eastAsia" w:ascii="宋体" w:hAnsi="宋体" w:cs="宋体"/>
          <w:b/>
          <w:bCs/>
          <w:sz w:val="48"/>
        </w:rPr>
        <w:t>日</w:t>
      </w:r>
    </w:p>
    <w:p>
      <w:pPr>
        <w:spacing w:line="360" w:lineRule="auto"/>
        <w:rPr>
          <w:rFonts w:ascii="宋体" w:hAnsi="宋体" w:cs="宋体"/>
          <w:b/>
          <w:bCs/>
          <w:sz w:val="30"/>
          <w:szCs w:val="30"/>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pStyle w:val="5"/>
        <w:spacing w:before="0" w:after="0" w:line="360" w:lineRule="auto"/>
        <w:jc w:val="center"/>
        <w:rPr>
          <w:rFonts w:ascii="宋体" w:hAnsi="宋体" w:eastAsia="宋体" w:cs="宋体"/>
          <w:szCs w:val="28"/>
        </w:rPr>
      </w:pPr>
      <w:bookmarkStart w:id="110" w:name="_Toc217446082"/>
      <w:r>
        <w:rPr>
          <w:rFonts w:hint="eastAsia" w:ascii="宋体" w:hAnsi="宋体" w:eastAsia="宋体" w:cs="宋体"/>
        </w:rPr>
        <w:t>一、</w:t>
      </w:r>
      <w:r>
        <w:rPr>
          <w:rFonts w:hint="eastAsia" w:ascii="宋体" w:hAnsi="宋体" w:eastAsia="宋体" w:cs="宋体"/>
          <w:szCs w:val="28"/>
        </w:rPr>
        <w:t>报价函</w:t>
      </w:r>
      <w:bookmarkEnd w:id="110"/>
      <w:r>
        <w:rPr>
          <w:rFonts w:hint="eastAsia" w:ascii="宋体" w:hAnsi="宋体" w:eastAsia="宋体" w:cs="宋体"/>
          <w:szCs w:val="28"/>
        </w:rPr>
        <w:t>（实质性要求）</w:t>
      </w:r>
    </w:p>
    <w:p>
      <w:pPr>
        <w:pStyle w:val="19"/>
        <w:spacing w:after="0" w:line="360" w:lineRule="auto"/>
        <w:ind w:left="0" w:leftChars="0"/>
        <w:rPr>
          <w:rFonts w:ascii="宋体" w:hAnsi="宋体" w:cs="宋体"/>
          <w:bCs/>
          <w:sz w:val="24"/>
        </w:rPr>
      </w:pPr>
      <w:r>
        <w:rPr>
          <w:rFonts w:hint="eastAsia" w:ascii="宋体" w:hAnsi="宋体" w:cs="宋体"/>
          <w:sz w:val="24"/>
        </w:rPr>
        <w:t>__</w:t>
      </w:r>
      <w:r>
        <w:rPr>
          <w:rFonts w:hint="eastAsia" w:ascii="宋体" w:hAnsi="宋体" w:cs="宋体"/>
          <w:sz w:val="24"/>
          <w:u w:val="single"/>
        </w:rPr>
        <w:t>绵竹市中医医院</w:t>
      </w:r>
      <w:r>
        <w:rPr>
          <w:rFonts w:hint="eastAsia" w:ascii="宋体" w:hAnsi="宋体" w:cs="宋体"/>
          <w:sz w:val="24"/>
        </w:rPr>
        <w:t>__</w:t>
      </w:r>
      <w:r>
        <w:rPr>
          <w:rFonts w:hint="eastAsia" w:ascii="宋体" w:hAnsi="宋体" w:cs="宋体"/>
          <w:bCs/>
          <w:sz w:val="24"/>
        </w:rPr>
        <w:t>：</w:t>
      </w:r>
    </w:p>
    <w:p>
      <w:pPr>
        <w:pStyle w:val="19"/>
        <w:spacing w:after="0" w:line="360" w:lineRule="auto"/>
        <w:ind w:left="0" w:leftChars="0" w:firstLine="480" w:firstLineChars="200"/>
        <w:rPr>
          <w:rFonts w:ascii="宋体" w:hAnsi="宋体" w:cs="宋体"/>
          <w:bCs/>
          <w:sz w:val="24"/>
        </w:rPr>
      </w:pPr>
      <w:r>
        <w:rPr>
          <w:rFonts w:hint="eastAsia" w:ascii="宋体" w:hAnsi="宋体" w:cs="宋体"/>
          <w:bCs/>
          <w:sz w:val="24"/>
        </w:rPr>
        <w:t>1.我方全面仔细研究了 “</w:t>
      </w:r>
      <w:r>
        <w:rPr>
          <w:rFonts w:hint="eastAsia" w:ascii="宋体" w:hAnsi="宋体" w:cs="宋体"/>
          <w:bCs/>
          <w:sz w:val="24"/>
          <w:u w:val="single"/>
        </w:rPr>
        <w:t xml:space="preserve">               </w:t>
      </w:r>
      <w:r>
        <w:rPr>
          <w:rFonts w:hint="eastAsia" w:ascii="宋体" w:hAnsi="宋体" w:cs="宋体"/>
          <w:bCs/>
          <w:sz w:val="24"/>
        </w:rPr>
        <w:t>”项目磋商文件的全部内容，决定参加贵单位组织的本项目磋商采购。</w:t>
      </w:r>
    </w:p>
    <w:p>
      <w:pPr>
        <w:pStyle w:val="19"/>
        <w:spacing w:after="0" w:line="360" w:lineRule="auto"/>
        <w:ind w:left="0" w:leftChars="0" w:firstLine="480" w:firstLineChars="200"/>
        <w:rPr>
          <w:rFonts w:ascii="宋体" w:hAnsi="宋体" w:cs="宋体"/>
          <w:bCs/>
          <w:sz w:val="24"/>
        </w:rPr>
      </w:pPr>
      <w:r>
        <w:rPr>
          <w:rFonts w:hint="eastAsia" w:ascii="宋体" w:hAnsi="宋体" w:cs="宋体"/>
          <w:bCs/>
          <w:sz w:val="24"/>
        </w:rPr>
        <w:t>2.我方自愿按照磋商文件规定的各项要求向采购人提供所需服务，总报价为人民币</w:t>
      </w:r>
      <w:r>
        <w:rPr>
          <w:rFonts w:hint="eastAsia" w:ascii="宋体" w:hAnsi="宋体" w:cs="宋体"/>
          <w:bCs/>
          <w:sz w:val="24"/>
          <w:u w:val="single"/>
        </w:rPr>
        <w:t xml:space="preserve">        </w:t>
      </w:r>
      <w:r>
        <w:rPr>
          <w:rFonts w:hint="eastAsia" w:ascii="宋体" w:hAnsi="宋体" w:cs="宋体"/>
          <w:bCs/>
          <w:sz w:val="24"/>
        </w:rPr>
        <w:t>万元（大写：</w:t>
      </w:r>
      <w:r>
        <w:rPr>
          <w:rFonts w:hint="eastAsia" w:ascii="宋体" w:hAnsi="宋体" w:cs="宋体"/>
          <w:bCs/>
          <w:sz w:val="24"/>
          <w:u w:val="single"/>
        </w:rPr>
        <w:t xml:space="preserve">        </w:t>
      </w:r>
      <w:r>
        <w:rPr>
          <w:rFonts w:hint="eastAsia" w:ascii="宋体" w:hAnsi="宋体" w:cs="宋体"/>
          <w:bCs/>
          <w:sz w:val="24"/>
        </w:rPr>
        <w:t>）。</w:t>
      </w:r>
    </w:p>
    <w:p>
      <w:pPr>
        <w:pStyle w:val="19"/>
        <w:spacing w:after="0" w:line="360" w:lineRule="auto"/>
        <w:ind w:left="0" w:leftChars="0" w:firstLine="480" w:firstLineChars="200"/>
        <w:rPr>
          <w:rFonts w:ascii="宋体" w:hAnsi="宋体" w:cs="宋体"/>
          <w:bCs/>
          <w:sz w:val="24"/>
        </w:rPr>
      </w:pPr>
      <w:r>
        <w:rPr>
          <w:rFonts w:hint="eastAsia" w:ascii="宋体" w:hAnsi="宋体" w:cs="宋体"/>
          <w:bCs/>
          <w:sz w:val="24"/>
        </w:rPr>
        <w:t>3.一旦我方成交，</w:t>
      </w:r>
      <w:r>
        <w:rPr>
          <w:rFonts w:hint="eastAsia" w:ascii="宋体" w:hAnsi="宋体" w:cs="宋体"/>
          <w:sz w:val="24"/>
        </w:rPr>
        <w:t>我方将严格履行政府采购合同规定的责任和义务</w:t>
      </w:r>
      <w:r>
        <w:rPr>
          <w:rFonts w:hint="eastAsia" w:ascii="宋体" w:hAnsi="宋体" w:cs="宋体"/>
          <w:bCs/>
          <w:sz w:val="24"/>
        </w:rPr>
        <w:t>。</w:t>
      </w:r>
    </w:p>
    <w:p>
      <w:pPr>
        <w:pStyle w:val="19"/>
        <w:spacing w:after="0" w:line="360" w:lineRule="auto"/>
        <w:ind w:left="0" w:leftChars="0" w:firstLine="480" w:firstLineChars="200"/>
        <w:rPr>
          <w:rFonts w:ascii="宋体" w:hAnsi="宋体" w:cs="宋体"/>
          <w:bCs/>
          <w:sz w:val="24"/>
        </w:rPr>
      </w:pPr>
      <w:r>
        <w:rPr>
          <w:rFonts w:hint="eastAsia" w:ascii="宋体" w:hAnsi="宋体" w:cs="宋体"/>
          <w:bCs/>
          <w:sz w:val="24"/>
        </w:rPr>
        <w:t>4．我方为本项目提交的</w:t>
      </w:r>
      <w:r>
        <w:rPr>
          <w:rFonts w:hint="eastAsia" w:ascii="宋体" w:hAnsi="宋体" w:cs="宋体"/>
          <w:sz w:val="24"/>
        </w:rPr>
        <w:t>资格性响应文件正本1份副本2份，其他响应文件正本1份副本2份</w:t>
      </w:r>
      <w:r>
        <w:rPr>
          <w:rFonts w:hint="eastAsia" w:ascii="宋体" w:hAnsi="宋体" w:cs="宋体"/>
          <w:bCs/>
          <w:sz w:val="24"/>
        </w:rPr>
        <w:t>。</w:t>
      </w:r>
    </w:p>
    <w:p>
      <w:pPr>
        <w:pStyle w:val="19"/>
        <w:spacing w:after="0" w:line="360" w:lineRule="auto"/>
        <w:ind w:left="0" w:leftChars="0" w:firstLine="480" w:firstLineChars="200"/>
        <w:rPr>
          <w:rFonts w:ascii="宋体" w:hAnsi="宋体" w:cs="宋体"/>
          <w:bCs/>
          <w:sz w:val="24"/>
        </w:rPr>
      </w:pPr>
      <w:r>
        <w:rPr>
          <w:rFonts w:hint="eastAsia" w:ascii="宋体" w:hAnsi="宋体" w:cs="宋体"/>
          <w:bCs/>
          <w:sz w:val="24"/>
        </w:rPr>
        <w:t>5．我方愿意提供贵单位可能另外要求的，与磋商有关的文件资料，并保证我方已提供和将要提供的文件资料是真实、准确的。</w:t>
      </w:r>
    </w:p>
    <w:p>
      <w:pPr>
        <w:pStyle w:val="19"/>
        <w:spacing w:after="0" w:line="360" w:lineRule="auto"/>
        <w:ind w:left="0" w:leftChars="0" w:firstLine="480" w:firstLineChars="200"/>
        <w:rPr>
          <w:rFonts w:ascii="宋体" w:hAnsi="宋体" w:cs="宋体"/>
          <w:bCs/>
          <w:sz w:val="24"/>
        </w:rPr>
      </w:pPr>
      <w:r>
        <w:rPr>
          <w:rFonts w:hint="eastAsia" w:ascii="宋体" w:hAnsi="宋体" w:cs="宋体"/>
          <w:bCs/>
          <w:sz w:val="24"/>
        </w:rPr>
        <w:t>6．本次响应文件有效期为递交磋商响应文件截止之日起90天。</w:t>
      </w:r>
    </w:p>
    <w:p>
      <w:pPr>
        <w:spacing w:line="360" w:lineRule="auto"/>
        <w:ind w:firstLine="480" w:firstLineChars="200"/>
        <w:jc w:val="left"/>
        <w:rPr>
          <w:rFonts w:ascii="宋体" w:hAnsi="宋体" w:cs="宋体"/>
          <w:color w:val="000000"/>
          <w:sz w:val="24"/>
        </w:rPr>
      </w:pPr>
      <w:bookmarkStart w:id="111" w:name="_Toc321063838"/>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ind w:firstLine="470" w:firstLineChars="196"/>
        <w:rPr>
          <w:rFonts w:ascii="宋体" w:hAnsi="宋体" w:cs="宋体"/>
          <w:color w:val="000000"/>
          <w:sz w:val="24"/>
        </w:rPr>
      </w:pPr>
      <w:r>
        <w:rPr>
          <w:rFonts w:hint="eastAsia" w:ascii="宋体" w:hAnsi="宋体" w:cs="宋体"/>
          <w:color w:val="000000"/>
          <w:sz w:val="24"/>
        </w:rPr>
        <w:t>法定代表人（负责人）或授权代表（</w:t>
      </w:r>
      <w:r>
        <w:rPr>
          <w:rFonts w:hint="eastAsia" w:ascii="宋体" w:hAnsi="宋体" w:cs="宋体"/>
          <w:bCs/>
          <w:color w:val="000000"/>
          <w:sz w:val="24"/>
        </w:rPr>
        <w:t>签字或者加盖个人名章</w:t>
      </w:r>
      <w:r>
        <w:rPr>
          <w:rFonts w:hint="eastAsia" w:ascii="宋体" w:hAnsi="宋体" w:cs="宋体"/>
          <w:color w:val="000000"/>
          <w:sz w:val="24"/>
        </w:rPr>
        <w:t>）：</w:t>
      </w:r>
      <w:r>
        <w:rPr>
          <w:rFonts w:hint="eastAsia" w:ascii="宋体" w:hAnsi="宋体" w:cs="宋体"/>
          <w:color w:val="000000"/>
          <w:sz w:val="24"/>
          <w:u w:val="single"/>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通讯地址：</w:t>
      </w:r>
      <w:r>
        <w:rPr>
          <w:rFonts w:hint="eastAsia" w:ascii="宋体" w:hAnsi="宋体" w:cs="宋体"/>
          <w:color w:val="000000"/>
          <w:sz w:val="24"/>
          <w:u w:val="single"/>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jc w:val="center"/>
        <w:outlineLvl w:val="1"/>
        <w:rPr>
          <w:rFonts w:ascii="宋体" w:hAnsi="宋体" w:cs="宋体"/>
          <w:b/>
          <w:bCs/>
          <w:sz w:val="32"/>
          <w:szCs w:val="32"/>
        </w:rPr>
      </w:pPr>
      <w:r>
        <w:rPr>
          <w:rFonts w:hint="eastAsia" w:ascii="宋体" w:hAnsi="宋体" w:cs="宋体"/>
          <w:b/>
          <w:color w:val="000000"/>
          <w:sz w:val="32"/>
          <w:szCs w:val="32"/>
        </w:rPr>
        <w:br w:type="page"/>
      </w:r>
      <w:r>
        <w:rPr>
          <w:rFonts w:hint="eastAsia" w:ascii="宋体" w:hAnsi="宋体" w:cs="宋体"/>
          <w:b/>
          <w:bCs/>
          <w:sz w:val="32"/>
          <w:szCs w:val="32"/>
        </w:rPr>
        <w:t>二、报价表</w:t>
      </w:r>
    </w:p>
    <w:p>
      <w:pPr>
        <w:widowControl/>
        <w:spacing w:line="360" w:lineRule="auto"/>
        <w:ind w:firstLine="470" w:firstLineChars="196"/>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tbl>
      <w:tblPr>
        <w:tblStyle w:val="3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85"/>
        <w:gridCol w:w="2236"/>
        <w:gridCol w:w="1078"/>
        <w:gridCol w:w="1438"/>
        <w:gridCol w:w="113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406" w:type="pct"/>
            <w:vAlign w:val="center"/>
          </w:tcPr>
          <w:p>
            <w:pPr>
              <w:widowControl/>
              <w:spacing w:line="360" w:lineRule="auto"/>
              <w:jc w:val="center"/>
              <w:outlineLvl w:val="1"/>
              <w:rPr>
                <w:rFonts w:ascii="宋体" w:hAnsi="宋体" w:cs="宋体"/>
                <w:sz w:val="24"/>
              </w:rPr>
            </w:pPr>
            <w:r>
              <w:rPr>
                <w:rFonts w:hint="eastAsia" w:ascii="宋体" w:hAnsi="宋体" w:cs="宋体"/>
                <w:sz w:val="24"/>
              </w:rPr>
              <w:t>序号</w:t>
            </w:r>
          </w:p>
        </w:tc>
        <w:tc>
          <w:tcPr>
            <w:tcW w:w="630" w:type="pct"/>
            <w:vAlign w:val="center"/>
          </w:tcPr>
          <w:p>
            <w:pPr>
              <w:widowControl/>
              <w:spacing w:line="360" w:lineRule="auto"/>
              <w:jc w:val="center"/>
              <w:outlineLvl w:val="1"/>
              <w:rPr>
                <w:rFonts w:ascii="宋体" w:hAnsi="宋体" w:cs="宋体"/>
                <w:sz w:val="24"/>
              </w:rPr>
            </w:pPr>
            <w:r>
              <w:rPr>
                <w:rFonts w:hint="eastAsia" w:ascii="宋体" w:hAnsi="宋体" w:cs="宋体"/>
                <w:sz w:val="24"/>
              </w:rPr>
              <w:t>标的名称</w:t>
            </w:r>
          </w:p>
        </w:tc>
        <w:tc>
          <w:tcPr>
            <w:tcW w:w="129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服务期限</w:t>
            </w:r>
          </w:p>
        </w:tc>
        <w:tc>
          <w:tcPr>
            <w:tcW w:w="626" w:type="pct"/>
            <w:vAlign w:val="center"/>
          </w:tcPr>
          <w:p>
            <w:pPr>
              <w:widowControl/>
              <w:spacing w:line="360" w:lineRule="auto"/>
              <w:jc w:val="center"/>
              <w:outlineLvl w:val="1"/>
              <w:rPr>
                <w:rFonts w:ascii="宋体" w:hAnsi="宋体" w:cs="宋体"/>
                <w:sz w:val="24"/>
              </w:rPr>
            </w:pPr>
            <w:r>
              <w:rPr>
                <w:rFonts w:hint="eastAsia" w:ascii="宋体" w:hAnsi="宋体" w:cs="宋体"/>
                <w:sz w:val="24"/>
              </w:rPr>
              <w:t>数量及单位</w:t>
            </w:r>
          </w:p>
        </w:tc>
        <w:tc>
          <w:tcPr>
            <w:tcW w:w="835" w:type="pct"/>
            <w:vAlign w:val="center"/>
          </w:tcPr>
          <w:p>
            <w:pPr>
              <w:widowControl/>
              <w:spacing w:line="360" w:lineRule="auto"/>
              <w:jc w:val="center"/>
              <w:outlineLvl w:val="1"/>
              <w:rPr>
                <w:rFonts w:ascii="宋体" w:hAnsi="宋体" w:cs="宋体"/>
                <w:sz w:val="24"/>
              </w:rPr>
            </w:pPr>
            <w:r>
              <w:rPr>
                <w:rFonts w:hint="eastAsia" w:ascii="宋体" w:hAnsi="宋体" w:cs="宋体"/>
                <w:sz w:val="24"/>
              </w:rPr>
              <w:t>单价</w:t>
            </w:r>
          </w:p>
          <w:p>
            <w:pPr>
              <w:widowControl/>
              <w:spacing w:line="360" w:lineRule="auto"/>
              <w:jc w:val="center"/>
              <w:outlineLvl w:val="1"/>
              <w:rPr>
                <w:rFonts w:ascii="宋体" w:hAnsi="宋体" w:cs="宋体"/>
                <w:sz w:val="24"/>
              </w:rPr>
            </w:pPr>
            <w:r>
              <w:rPr>
                <w:rFonts w:hint="eastAsia" w:ascii="宋体" w:hAnsi="宋体" w:cs="宋体"/>
                <w:sz w:val="24"/>
              </w:rPr>
              <w:t>（万元/年）</w:t>
            </w:r>
          </w:p>
        </w:tc>
        <w:tc>
          <w:tcPr>
            <w:tcW w:w="660" w:type="pct"/>
            <w:vAlign w:val="center"/>
          </w:tcPr>
          <w:p>
            <w:pPr>
              <w:widowControl/>
              <w:spacing w:line="360" w:lineRule="auto"/>
              <w:jc w:val="center"/>
              <w:outlineLvl w:val="1"/>
              <w:rPr>
                <w:rFonts w:ascii="宋体" w:hAnsi="宋体" w:cs="宋体"/>
                <w:sz w:val="24"/>
              </w:rPr>
            </w:pPr>
            <w:r>
              <w:rPr>
                <w:rFonts w:hint="eastAsia" w:ascii="宋体" w:hAnsi="宋体" w:cs="宋体"/>
                <w:sz w:val="24"/>
              </w:rPr>
              <w:t>总价</w:t>
            </w:r>
          </w:p>
          <w:p>
            <w:pPr>
              <w:widowControl/>
              <w:spacing w:line="360" w:lineRule="auto"/>
              <w:jc w:val="center"/>
              <w:outlineLvl w:val="1"/>
              <w:rPr>
                <w:rFonts w:ascii="宋体" w:hAnsi="宋体" w:cs="宋体"/>
                <w:sz w:val="24"/>
              </w:rPr>
            </w:pPr>
            <w:r>
              <w:rPr>
                <w:rFonts w:hint="eastAsia" w:ascii="宋体" w:hAnsi="宋体" w:cs="宋体"/>
                <w:sz w:val="24"/>
              </w:rPr>
              <w:t>（万元）</w:t>
            </w:r>
          </w:p>
        </w:tc>
        <w:tc>
          <w:tcPr>
            <w:tcW w:w="542" w:type="pct"/>
            <w:vAlign w:val="center"/>
          </w:tcPr>
          <w:p>
            <w:pPr>
              <w:widowControl/>
              <w:spacing w:line="360" w:lineRule="auto"/>
              <w:ind w:firstLine="84" w:firstLineChars="35"/>
              <w:jc w:val="center"/>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06" w:type="pct"/>
            <w:vAlign w:val="center"/>
          </w:tcPr>
          <w:p>
            <w:pPr>
              <w:widowControl/>
              <w:spacing w:line="360" w:lineRule="auto"/>
              <w:jc w:val="center"/>
              <w:outlineLvl w:val="1"/>
              <w:rPr>
                <w:rFonts w:ascii="宋体" w:hAnsi="宋体" w:cs="宋体"/>
                <w:sz w:val="24"/>
              </w:rPr>
            </w:pPr>
            <w:r>
              <w:rPr>
                <w:rFonts w:hint="eastAsia" w:ascii="宋体" w:hAnsi="宋体" w:cs="宋体"/>
                <w:sz w:val="24"/>
              </w:rPr>
              <w:t>1</w:t>
            </w:r>
          </w:p>
        </w:tc>
        <w:tc>
          <w:tcPr>
            <w:tcW w:w="630" w:type="pct"/>
            <w:vAlign w:val="center"/>
          </w:tcPr>
          <w:p>
            <w:pPr>
              <w:widowControl/>
              <w:spacing w:line="360" w:lineRule="auto"/>
              <w:jc w:val="center"/>
              <w:outlineLvl w:val="1"/>
              <w:rPr>
                <w:rFonts w:ascii="宋体" w:hAnsi="宋体" w:cs="宋体"/>
                <w:sz w:val="24"/>
              </w:rPr>
            </w:pPr>
            <w:r>
              <w:rPr>
                <w:rFonts w:hint="eastAsia" w:ascii="宋体" w:hAnsi="宋体" w:cs="宋体"/>
                <w:sz w:val="24"/>
              </w:rPr>
              <w:t>全院医学装备技术维保服务务</w:t>
            </w:r>
          </w:p>
        </w:tc>
        <w:tc>
          <w:tcPr>
            <w:tcW w:w="129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服务期限为：三年，本次一次采三年，合同一年一签，达到采购人要求且考核通过后，续签下一年合同。</w:t>
            </w:r>
          </w:p>
        </w:tc>
        <w:tc>
          <w:tcPr>
            <w:tcW w:w="626" w:type="pct"/>
            <w:vAlign w:val="center"/>
          </w:tcPr>
          <w:p>
            <w:pPr>
              <w:widowControl/>
              <w:spacing w:line="360" w:lineRule="auto"/>
              <w:jc w:val="center"/>
              <w:outlineLvl w:val="1"/>
              <w:rPr>
                <w:rFonts w:ascii="宋体" w:hAnsi="宋体" w:cs="宋体"/>
                <w:sz w:val="24"/>
              </w:rPr>
            </w:pPr>
            <w:r>
              <w:rPr>
                <w:rFonts w:hint="eastAsia" w:ascii="宋体" w:hAnsi="宋体" w:cs="宋体"/>
                <w:sz w:val="24"/>
              </w:rPr>
              <w:t>3年</w:t>
            </w:r>
          </w:p>
        </w:tc>
        <w:tc>
          <w:tcPr>
            <w:tcW w:w="835" w:type="pct"/>
            <w:vAlign w:val="center"/>
          </w:tcPr>
          <w:p>
            <w:pPr>
              <w:widowControl/>
              <w:spacing w:line="360" w:lineRule="auto"/>
              <w:jc w:val="center"/>
              <w:outlineLvl w:val="1"/>
              <w:rPr>
                <w:rFonts w:ascii="宋体" w:hAnsi="宋体" w:cs="宋体"/>
                <w:sz w:val="24"/>
              </w:rPr>
            </w:pPr>
          </w:p>
        </w:tc>
        <w:tc>
          <w:tcPr>
            <w:tcW w:w="660" w:type="pct"/>
            <w:vAlign w:val="center"/>
          </w:tcPr>
          <w:p>
            <w:pPr>
              <w:widowControl/>
              <w:spacing w:line="360" w:lineRule="auto"/>
              <w:jc w:val="center"/>
              <w:outlineLvl w:val="1"/>
              <w:rPr>
                <w:rFonts w:ascii="宋体" w:hAnsi="宋体" w:cs="宋体"/>
                <w:sz w:val="24"/>
              </w:rPr>
            </w:pPr>
          </w:p>
        </w:tc>
        <w:tc>
          <w:tcPr>
            <w:tcW w:w="542" w:type="pct"/>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7"/>
            <w:vAlign w:val="center"/>
          </w:tcPr>
          <w:p>
            <w:pPr>
              <w:widowControl/>
              <w:spacing w:line="360" w:lineRule="auto"/>
              <w:ind w:firstLine="470" w:firstLineChars="196"/>
              <w:outlineLvl w:val="1"/>
              <w:rPr>
                <w:rFonts w:ascii="宋体" w:hAnsi="宋体" w:cs="宋体"/>
                <w:sz w:val="24"/>
              </w:rPr>
            </w:pPr>
            <w:r>
              <w:rPr>
                <w:rFonts w:hint="eastAsia" w:ascii="宋体" w:hAnsi="宋体" w:cs="宋体"/>
                <w:sz w:val="24"/>
              </w:rPr>
              <w:t>报价合计（万元）：          大写：</w:t>
            </w:r>
          </w:p>
        </w:tc>
      </w:tr>
    </w:tbl>
    <w:p>
      <w:pPr>
        <w:widowControl/>
        <w:spacing w:line="360" w:lineRule="auto"/>
        <w:jc w:val="left"/>
        <w:rPr>
          <w:rFonts w:ascii="宋体" w:hAnsi="宋体" w:cs="宋体"/>
          <w:sz w:val="24"/>
        </w:rPr>
      </w:pPr>
    </w:p>
    <w:p>
      <w:pPr>
        <w:widowControl/>
        <w:spacing w:line="360" w:lineRule="auto"/>
        <w:ind w:firstLine="470" w:firstLineChars="196"/>
        <w:jc w:val="left"/>
        <w:rPr>
          <w:rFonts w:ascii="宋体" w:hAnsi="宋体" w:cs="宋体"/>
          <w:sz w:val="24"/>
        </w:rPr>
      </w:pPr>
      <w:r>
        <w:rPr>
          <w:rFonts w:hint="eastAsia" w:ascii="宋体" w:hAnsi="宋体" w:cs="宋体"/>
          <w:sz w:val="24"/>
        </w:rPr>
        <w:t xml:space="preserve">注：1、本次报价应是最终用户验收合格后的报价，包括服务全过程和采购文件规定的其它全部费用。 </w:t>
      </w:r>
    </w:p>
    <w:p>
      <w:pPr>
        <w:spacing w:line="360" w:lineRule="auto"/>
        <w:ind w:firstLine="480" w:firstLineChars="200"/>
        <w:rPr>
          <w:rFonts w:ascii="宋体" w:hAnsi="宋体" w:cs="宋体"/>
          <w:color w:val="000000"/>
          <w:sz w:val="24"/>
        </w:rPr>
      </w:pPr>
    </w:p>
    <w:p>
      <w:pPr>
        <w:spacing w:line="360" w:lineRule="auto"/>
        <w:rPr>
          <w:rFonts w:ascii="宋体" w:hAnsi="宋体" w:cs="宋体"/>
          <w:color w:val="000000"/>
          <w:sz w:val="32"/>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pStyle w:val="5"/>
        <w:spacing w:before="0" w:after="0"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三、供应商单位基本情况表</w:t>
      </w:r>
      <w:bookmarkEnd w:id="111"/>
    </w:p>
    <w:tbl>
      <w:tblPr>
        <w:tblStyle w:val="33"/>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23"/>
        <w:gridCol w:w="1083"/>
        <w:gridCol w:w="1403"/>
        <w:gridCol w:w="1404"/>
        <w:gridCol w:w="8"/>
        <w:gridCol w:w="1487"/>
        <w:gridCol w:w="179"/>
        <w:gridCol w:w="1134"/>
        <w:gridCol w:w="122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供应商名称</w:t>
            </w:r>
          </w:p>
        </w:tc>
        <w:tc>
          <w:tcPr>
            <w:tcW w:w="7925" w:type="dxa"/>
            <w:gridSpan w:val="8"/>
            <w:vAlign w:val="center"/>
          </w:tcPr>
          <w:p>
            <w:pPr>
              <w:autoSpaceDE w:val="0"/>
              <w:autoSpaceDN w:val="0"/>
              <w:spacing w:line="360" w:lineRule="auto"/>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注册地址</w:t>
            </w:r>
          </w:p>
        </w:tc>
        <w:tc>
          <w:tcPr>
            <w:tcW w:w="3898" w:type="dxa"/>
            <w:gridSpan w:val="4"/>
            <w:vAlign w:val="center"/>
          </w:tcPr>
          <w:p>
            <w:pPr>
              <w:autoSpaceDE w:val="0"/>
              <w:autoSpaceDN w:val="0"/>
              <w:spacing w:line="360" w:lineRule="auto"/>
              <w:jc w:val="center"/>
              <w:rPr>
                <w:rFonts w:ascii="宋体" w:hAnsi="宋体" w:cs="宋体"/>
                <w:sz w:val="24"/>
              </w:rPr>
            </w:pPr>
          </w:p>
        </w:tc>
        <w:tc>
          <w:tcPr>
            <w:tcW w:w="1487"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邮政编码</w:t>
            </w:r>
          </w:p>
        </w:tc>
        <w:tc>
          <w:tcPr>
            <w:tcW w:w="2540" w:type="dxa"/>
            <w:gridSpan w:val="3"/>
            <w:vAlign w:val="center"/>
          </w:tcPr>
          <w:p>
            <w:pPr>
              <w:autoSpaceDE w:val="0"/>
              <w:autoSpaceDN w:val="0"/>
              <w:spacing w:line="360" w:lineRule="auto"/>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Merge w:val="restart"/>
            <w:vAlign w:val="center"/>
          </w:tcPr>
          <w:p>
            <w:pPr>
              <w:autoSpaceDE w:val="0"/>
              <w:autoSpaceDN w:val="0"/>
              <w:spacing w:line="360" w:lineRule="auto"/>
              <w:jc w:val="center"/>
              <w:rPr>
                <w:rFonts w:ascii="宋体" w:hAnsi="宋体" w:cs="宋体"/>
                <w:sz w:val="24"/>
              </w:rPr>
            </w:pPr>
            <w:r>
              <w:rPr>
                <w:rFonts w:hint="eastAsia" w:ascii="宋体" w:hAnsi="宋体" w:cs="宋体"/>
                <w:sz w:val="24"/>
              </w:rPr>
              <w:t>联系方式</w:t>
            </w:r>
          </w:p>
        </w:tc>
        <w:tc>
          <w:tcPr>
            <w:tcW w:w="108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联系人</w:t>
            </w:r>
          </w:p>
        </w:tc>
        <w:tc>
          <w:tcPr>
            <w:tcW w:w="2807" w:type="dxa"/>
            <w:gridSpan w:val="2"/>
            <w:vAlign w:val="center"/>
          </w:tcPr>
          <w:p>
            <w:pPr>
              <w:autoSpaceDE w:val="0"/>
              <w:autoSpaceDN w:val="0"/>
              <w:spacing w:line="360" w:lineRule="auto"/>
              <w:jc w:val="center"/>
              <w:rPr>
                <w:rFonts w:ascii="宋体" w:hAnsi="宋体" w:cs="宋体"/>
                <w:sz w:val="24"/>
              </w:rPr>
            </w:pPr>
          </w:p>
        </w:tc>
        <w:tc>
          <w:tcPr>
            <w:tcW w:w="1495" w:type="dxa"/>
            <w:gridSpan w:val="2"/>
            <w:vAlign w:val="center"/>
          </w:tcPr>
          <w:p>
            <w:pPr>
              <w:autoSpaceDE w:val="0"/>
              <w:autoSpaceDN w:val="0"/>
              <w:spacing w:line="360" w:lineRule="auto"/>
              <w:jc w:val="center"/>
              <w:rPr>
                <w:rFonts w:ascii="宋体" w:hAnsi="宋体" w:cs="宋体"/>
                <w:sz w:val="24"/>
              </w:rPr>
            </w:pPr>
            <w:r>
              <w:rPr>
                <w:rFonts w:hint="eastAsia" w:ascii="宋体" w:hAnsi="宋体" w:cs="宋体"/>
                <w:sz w:val="24"/>
              </w:rPr>
              <w:t>电话</w:t>
            </w:r>
          </w:p>
        </w:tc>
        <w:tc>
          <w:tcPr>
            <w:tcW w:w="2540" w:type="dxa"/>
            <w:gridSpan w:val="3"/>
            <w:vAlign w:val="center"/>
          </w:tcPr>
          <w:p>
            <w:pPr>
              <w:autoSpaceDE w:val="0"/>
              <w:autoSpaceDN w:val="0"/>
              <w:spacing w:line="360" w:lineRule="auto"/>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23" w:type="dxa"/>
            <w:vMerge w:val="continue"/>
            <w:vAlign w:val="center"/>
          </w:tcPr>
          <w:p>
            <w:pPr>
              <w:autoSpaceDE w:val="0"/>
              <w:autoSpaceDN w:val="0"/>
              <w:spacing w:line="360" w:lineRule="auto"/>
              <w:jc w:val="center"/>
              <w:rPr>
                <w:rFonts w:ascii="宋体" w:hAnsi="宋体" w:cs="宋体"/>
                <w:sz w:val="24"/>
              </w:rPr>
            </w:pPr>
          </w:p>
        </w:tc>
        <w:tc>
          <w:tcPr>
            <w:tcW w:w="108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传真</w:t>
            </w:r>
          </w:p>
        </w:tc>
        <w:tc>
          <w:tcPr>
            <w:tcW w:w="2807" w:type="dxa"/>
            <w:gridSpan w:val="2"/>
            <w:vAlign w:val="center"/>
          </w:tcPr>
          <w:p>
            <w:pPr>
              <w:autoSpaceDE w:val="0"/>
              <w:autoSpaceDN w:val="0"/>
              <w:spacing w:line="360" w:lineRule="auto"/>
              <w:jc w:val="center"/>
              <w:rPr>
                <w:rFonts w:ascii="宋体" w:hAnsi="宋体" w:cs="宋体"/>
                <w:sz w:val="24"/>
              </w:rPr>
            </w:pPr>
          </w:p>
        </w:tc>
        <w:tc>
          <w:tcPr>
            <w:tcW w:w="1495" w:type="dxa"/>
            <w:gridSpan w:val="2"/>
            <w:vAlign w:val="center"/>
          </w:tcPr>
          <w:p>
            <w:pPr>
              <w:autoSpaceDE w:val="0"/>
              <w:autoSpaceDN w:val="0"/>
              <w:spacing w:line="360" w:lineRule="auto"/>
              <w:jc w:val="center"/>
              <w:rPr>
                <w:rFonts w:ascii="宋体" w:hAnsi="宋体" w:cs="宋体"/>
                <w:sz w:val="24"/>
              </w:rPr>
            </w:pPr>
            <w:r>
              <w:rPr>
                <w:rFonts w:hint="eastAsia" w:ascii="宋体" w:hAnsi="宋体" w:cs="宋体"/>
                <w:sz w:val="24"/>
              </w:rPr>
              <w:t>网址</w:t>
            </w:r>
          </w:p>
        </w:tc>
        <w:tc>
          <w:tcPr>
            <w:tcW w:w="2540" w:type="dxa"/>
            <w:gridSpan w:val="3"/>
            <w:vAlign w:val="center"/>
          </w:tcPr>
          <w:p>
            <w:pPr>
              <w:autoSpaceDE w:val="0"/>
              <w:autoSpaceDN w:val="0"/>
              <w:spacing w:line="360" w:lineRule="auto"/>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组织结构</w:t>
            </w:r>
          </w:p>
        </w:tc>
        <w:tc>
          <w:tcPr>
            <w:tcW w:w="7925" w:type="dxa"/>
            <w:gridSpan w:val="8"/>
            <w:vAlign w:val="center"/>
          </w:tcPr>
          <w:p>
            <w:pPr>
              <w:autoSpaceDE w:val="0"/>
              <w:autoSpaceDN w:val="0"/>
              <w:spacing w:line="360" w:lineRule="auto"/>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法定代表人（负责人）</w:t>
            </w:r>
          </w:p>
        </w:tc>
        <w:tc>
          <w:tcPr>
            <w:tcW w:w="108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1403" w:type="dxa"/>
            <w:vAlign w:val="center"/>
          </w:tcPr>
          <w:p>
            <w:pPr>
              <w:autoSpaceDE w:val="0"/>
              <w:autoSpaceDN w:val="0"/>
              <w:spacing w:line="360" w:lineRule="auto"/>
              <w:jc w:val="center"/>
              <w:rPr>
                <w:rFonts w:ascii="宋体" w:hAnsi="宋体" w:cs="宋体"/>
                <w:sz w:val="24"/>
              </w:rPr>
            </w:pPr>
          </w:p>
        </w:tc>
        <w:tc>
          <w:tcPr>
            <w:tcW w:w="1404"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技术职称</w:t>
            </w:r>
          </w:p>
        </w:tc>
        <w:tc>
          <w:tcPr>
            <w:tcW w:w="1495" w:type="dxa"/>
            <w:gridSpan w:val="2"/>
            <w:vAlign w:val="center"/>
          </w:tcPr>
          <w:p>
            <w:pPr>
              <w:autoSpaceDE w:val="0"/>
              <w:autoSpaceDN w:val="0"/>
              <w:spacing w:line="360" w:lineRule="auto"/>
              <w:jc w:val="center"/>
              <w:rPr>
                <w:rFonts w:ascii="宋体" w:hAnsi="宋体" w:cs="宋体"/>
                <w:sz w:val="24"/>
              </w:rPr>
            </w:pPr>
          </w:p>
        </w:tc>
        <w:tc>
          <w:tcPr>
            <w:tcW w:w="1313" w:type="dxa"/>
            <w:gridSpan w:val="2"/>
            <w:vAlign w:val="center"/>
          </w:tcPr>
          <w:p>
            <w:pPr>
              <w:autoSpaceDE w:val="0"/>
              <w:autoSpaceDN w:val="0"/>
              <w:spacing w:line="360" w:lineRule="auto"/>
              <w:jc w:val="center"/>
              <w:rPr>
                <w:rFonts w:ascii="宋体" w:hAnsi="宋体" w:cs="宋体"/>
                <w:sz w:val="24"/>
              </w:rPr>
            </w:pPr>
            <w:r>
              <w:rPr>
                <w:rFonts w:hint="eastAsia" w:ascii="宋体" w:hAnsi="宋体" w:cs="宋体"/>
                <w:sz w:val="24"/>
              </w:rPr>
              <w:t>电话</w:t>
            </w:r>
          </w:p>
        </w:tc>
        <w:tc>
          <w:tcPr>
            <w:tcW w:w="1227" w:type="dxa"/>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技术负责人</w:t>
            </w:r>
          </w:p>
        </w:tc>
        <w:tc>
          <w:tcPr>
            <w:tcW w:w="108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1403" w:type="dxa"/>
            <w:vAlign w:val="center"/>
          </w:tcPr>
          <w:p>
            <w:pPr>
              <w:autoSpaceDE w:val="0"/>
              <w:autoSpaceDN w:val="0"/>
              <w:spacing w:line="360" w:lineRule="auto"/>
              <w:jc w:val="center"/>
              <w:rPr>
                <w:rFonts w:ascii="宋体" w:hAnsi="宋体" w:cs="宋体"/>
                <w:sz w:val="24"/>
              </w:rPr>
            </w:pPr>
          </w:p>
        </w:tc>
        <w:tc>
          <w:tcPr>
            <w:tcW w:w="1404"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技术职称</w:t>
            </w:r>
          </w:p>
        </w:tc>
        <w:tc>
          <w:tcPr>
            <w:tcW w:w="1495" w:type="dxa"/>
            <w:gridSpan w:val="2"/>
            <w:vAlign w:val="center"/>
          </w:tcPr>
          <w:p>
            <w:pPr>
              <w:autoSpaceDE w:val="0"/>
              <w:autoSpaceDN w:val="0"/>
              <w:spacing w:line="360" w:lineRule="auto"/>
              <w:jc w:val="center"/>
              <w:rPr>
                <w:rFonts w:ascii="宋体" w:hAnsi="宋体" w:cs="宋体"/>
                <w:sz w:val="24"/>
              </w:rPr>
            </w:pPr>
          </w:p>
        </w:tc>
        <w:tc>
          <w:tcPr>
            <w:tcW w:w="1313" w:type="dxa"/>
            <w:gridSpan w:val="2"/>
            <w:vAlign w:val="center"/>
          </w:tcPr>
          <w:p>
            <w:pPr>
              <w:autoSpaceDE w:val="0"/>
              <w:autoSpaceDN w:val="0"/>
              <w:spacing w:line="360" w:lineRule="auto"/>
              <w:jc w:val="center"/>
              <w:rPr>
                <w:rFonts w:ascii="宋体" w:hAnsi="宋体" w:cs="宋体"/>
                <w:sz w:val="24"/>
              </w:rPr>
            </w:pPr>
            <w:r>
              <w:rPr>
                <w:rFonts w:hint="eastAsia" w:ascii="宋体" w:hAnsi="宋体" w:cs="宋体"/>
                <w:sz w:val="24"/>
              </w:rPr>
              <w:t>电话</w:t>
            </w:r>
          </w:p>
        </w:tc>
        <w:tc>
          <w:tcPr>
            <w:tcW w:w="1227" w:type="dxa"/>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成立时间</w:t>
            </w:r>
          </w:p>
        </w:tc>
        <w:tc>
          <w:tcPr>
            <w:tcW w:w="2486" w:type="dxa"/>
            <w:gridSpan w:val="2"/>
            <w:vAlign w:val="center"/>
          </w:tcPr>
          <w:p>
            <w:pPr>
              <w:autoSpaceDE w:val="0"/>
              <w:autoSpaceDN w:val="0"/>
              <w:spacing w:line="360" w:lineRule="auto"/>
              <w:jc w:val="center"/>
              <w:rPr>
                <w:rFonts w:ascii="宋体" w:hAnsi="宋体" w:cs="宋体"/>
                <w:sz w:val="24"/>
              </w:rPr>
            </w:pPr>
          </w:p>
        </w:tc>
        <w:tc>
          <w:tcPr>
            <w:tcW w:w="5439" w:type="dxa"/>
            <w:gridSpan w:val="6"/>
            <w:vAlign w:val="center"/>
          </w:tcPr>
          <w:p>
            <w:pPr>
              <w:autoSpaceDE w:val="0"/>
              <w:autoSpaceDN w:val="0"/>
              <w:spacing w:line="360" w:lineRule="auto"/>
              <w:ind w:firstLine="1680" w:firstLineChars="700"/>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Align w:val="center"/>
          </w:tcPr>
          <w:p>
            <w:pPr>
              <w:widowControl/>
              <w:spacing w:line="360" w:lineRule="auto"/>
              <w:ind w:firstLine="240" w:firstLineChars="100"/>
              <w:jc w:val="left"/>
              <w:outlineLvl w:val="1"/>
              <w:rPr>
                <w:rFonts w:ascii="宋体" w:hAnsi="宋体" w:cs="宋体"/>
                <w:sz w:val="24"/>
              </w:rPr>
            </w:pPr>
            <w:r>
              <w:rPr>
                <w:rFonts w:hint="eastAsia" w:ascii="宋体" w:hAnsi="宋体" w:cs="宋体"/>
                <w:sz w:val="24"/>
              </w:rPr>
              <w:t>企业类型</w:t>
            </w:r>
          </w:p>
        </w:tc>
        <w:tc>
          <w:tcPr>
            <w:tcW w:w="7925" w:type="dxa"/>
            <w:gridSpan w:val="8"/>
            <w:vAlign w:val="center"/>
          </w:tcPr>
          <w:p>
            <w:pPr>
              <w:widowControl/>
              <w:spacing w:line="360" w:lineRule="auto"/>
              <w:jc w:val="left"/>
              <w:outlineLvl w:val="1"/>
              <w:rPr>
                <w:rFonts w:ascii="宋体" w:hAnsi="宋体" w:cs="宋体"/>
                <w:sz w:val="24"/>
              </w:rPr>
            </w:pPr>
            <w:r>
              <w:rPr>
                <w:rFonts w:hint="eastAsia" w:ascii="宋体" w:hAnsi="宋体" w:cs="宋体"/>
                <w:sz w:val="24"/>
              </w:rPr>
              <w:t>□大型企业□中型企业□小型企业□微型企业（对应处打“√”）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企业资质等级</w:t>
            </w:r>
          </w:p>
        </w:tc>
        <w:tc>
          <w:tcPr>
            <w:tcW w:w="2486" w:type="dxa"/>
            <w:gridSpan w:val="2"/>
            <w:vAlign w:val="center"/>
          </w:tcPr>
          <w:p>
            <w:pPr>
              <w:autoSpaceDE w:val="0"/>
              <w:autoSpaceDN w:val="0"/>
              <w:spacing w:line="360" w:lineRule="auto"/>
              <w:jc w:val="center"/>
              <w:rPr>
                <w:rFonts w:ascii="宋体" w:hAnsi="宋体" w:cs="宋体"/>
                <w:sz w:val="24"/>
              </w:rPr>
            </w:pPr>
          </w:p>
        </w:tc>
        <w:tc>
          <w:tcPr>
            <w:tcW w:w="1404" w:type="dxa"/>
            <w:vMerge w:val="restart"/>
            <w:vAlign w:val="center"/>
          </w:tcPr>
          <w:p>
            <w:pPr>
              <w:autoSpaceDE w:val="0"/>
              <w:autoSpaceDN w:val="0"/>
              <w:spacing w:line="360" w:lineRule="auto"/>
              <w:jc w:val="center"/>
              <w:rPr>
                <w:rFonts w:ascii="宋体" w:hAnsi="宋体" w:cs="宋体"/>
                <w:sz w:val="24"/>
              </w:rPr>
            </w:pPr>
            <w:r>
              <w:rPr>
                <w:rFonts w:hint="eastAsia" w:ascii="宋体" w:hAnsi="宋体" w:cs="宋体"/>
                <w:sz w:val="24"/>
              </w:rPr>
              <w:t>其中</w:t>
            </w:r>
          </w:p>
        </w:tc>
        <w:tc>
          <w:tcPr>
            <w:tcW w:w="1674" w:type="dxa"/>
            <w:gridSpan w:val="3"/>
            <w:vAlign w:val="center"/>
          </w:tcPr>
          <w:p>
            <w:pPr>
              <w:autoSpaceDE w:val="0"/>
              <w:autoSpaceDN w:val="0"/>
              <w:spacing w:line="360" w:lineRule="auto"/>
              <w:jc w:val="center"/>
              <w:rPr>
                <w:rFonts w:ascii="宋体" w:hAnsi="宋体" w:cs="宋体"/>
                <w:sz w:val="24"/>
              </w:rPr>
            </w:pPr>
            <w:r>
              <w:rPr>
                <w:rFonts w:hint="eastAsia" w:ascii="宋体" w:hAnsi="宋体" w:cs="宋体"/>
                <w:sz w:val="24"/>
              </w:rPr>
              <w:t>项目经理</w:t>
            </w:r>
          </w:p>
        </w:tc>
        <w:tc>
          <w:tcPr>
            <w:tcW w:w="2361" w:type="dxa"/>
            <w:gridSpan w:val="2"/>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营业执照号</w:t>
            </w:r>
          </w:p>
        </w:tc>
        <w:tc>
          <w:tcPr>
            <w:tcW w:w="2486" w:type="dxa"/>
            <w:gridSpan w:val="2"/>
            <w:vAlign w:val="center"/>
          </w:tcPr>
          <w:p>
            <w:pPr>
              <w:autoSpaceDE w:val="0"/>
              <w:autoSpaceDN w:val="0"/>
              <w:spacing w:line="360" w:lineRule="auto"/>
              <w:jc w:val="center"/>
              <w:rPr>
                <w:rFonts w:ascii="宋体" w:hAnsi="宋体" w:cs="宋体"/>
                <w:sz w:val="24"/>
              </w:rPr>
            </w:pPr>
          </w:p>
        </w:tc>
        <w:tc>
          <w:tcPr>
            <w:tcW w:w="1404" w:type="dxa"/>
            <w:vMerge w:val="continue"/>
            <w:vAlign w:val="center"/>
          </w:tcPr>
          <w:p>
            <w:pPr>
              <w:autoSpaceDE w:val="0"/>
              <w:autoSpaceDN w:val="0"/>
              <w:spacing w:line="360" w:lineRule="auto"/>
              <w:jc w:val="center"/>
              <w:rPr>
                <w:rFonts w:ascii="宋体" w:hAnsi="宋体" w:cs="宋体"/>
                <w:sz w:val="24"/>
              </w:rPr>
            </w:pPr>
          </w:p>
        </w:tc>
        <w:tc>
          <w:tcPr>
            <w:tcW w:w="1674" w:type="dxa"/>
            <w:gridSpan w:val="3"/>
            <w:vAlign w:val="center"/>
          </w:tcPr>
          <w:p>
            <w:pPr>
              <w:autoSpaceDE w:val="0"/>
              <w:autoSpaceDN w:val="0"/>
              <w:spacing w:line="360" w:lineRule="auto"/>
              <w:jc w:val="center"/>
              <w:rPr>
                <w:rFonts w:ascii="宋体" w:hAnsi="宋体" w:cs="宋体"/>
                <w:sz w:val="24"/>
              </w:rPr>
            </w:pPr>
            <w:r>
              <w:rPr>
                <w:rFonts w:hint="eastAsia" w:ascii="宋体" w:hAnsi="宋体" w:cs="宋体"/>
                <w:sz w:val="24"/>
              </w:rPr>
              <w:t>高级职称人员</w:t>
            </w:r>
          </w:p>
        </w:tc>
        <w:tc>
          <w:tcPr>
            <w:tcW w:w="2361" w:type="dxa"/>
            <w:gridSpan w:val="2"/>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注册资金</w:t>
            </w:r>
          </w:p>
        </w:tc>
        <w:tc>
          <w:tcPr>
            <w:tcW w:w="2486" w:type="dxa"/>
            <w:gridSpan w:val="2"/>
            <w:vAlign w:val="center"/>
          </w:tcPr>
          <w:p>
            <w:pPr>
              <w:autoSpaceDE w:val="0"/>
              <w:autoSpaceDN w:val="0"/>
              <w:spacing w:line="360" w:lineRule="auto"/>
              <w:jc w:val="center"/>
              <w:rPr>
                <w:rFonts w:ascii="宋体" w:hAnsi="宋体" w:cs="宋体"/>
                <w:sz w:val="24"/>
              </w:rPr>
            </w:pPr>
          </w:p>
        </w:tc>
        <w:tc>
          <w:tcPr>
            <w:tcW w:w="1404" w:type="dxa"/>
            <w:vMerge w:val="continue"/>
            <w:vAlign w:val="center"/>
          </w:tcPr>
          <w:p>
            <w:pPr>
              <w:autoSpaceDE w:val="0"/>
              <w:autoSpaceDN w:val="0"/>
              <w:spacing w:line="360" w:lineRule="auto"/>
              <w:jc w:val="center"/>
              <w:rPr>
                <w:rFonts w:ascii="宋体" w:hAnsi="宋体" w:cs="宋体"/>
                <w:sz w:val="24"/>
              </w:rPr>
            </w:pPr>
          </w:p>
        </w:tc>
        <w:tc>
          <w:tcPr>
            <w:tcW w:w="1674" w:type="dxa"/>
            <w:gridSpan w:val="3"/>
            <w:vAlign w:val="center"/>
          </w:tcPr>
          <w:p>
            <w:pPr>
              <w:autoSpaceDE w:val="0"/>
              <w:autoSpaceDN w:val="0"/>
              <w:spacing w:line="360" w:lineRule="auto"/>
              <w:jc w:val="center"/>
              <w:rPr>
                <w:rFonts w:ascii="宋体" w:hAnsi="宋体" w:cs="宋体"/>
                <w:sz w:val="24"/>
              </w:rPr>
            </w:pPr>
            <w:r>
              <w:rPr>
                <w:rFonts w:hint="eastAsia" w:ascii="宋体" w:hAnsi="宋体" w:cs="宋体"/>
                <w:sz w:val="24"/>
              </w:rPr>
              <w:t>中级职称人员</w:t>
            </w:r>
          </w:p>
        </w:tc>
        <w:tc>
          <w:tcPr>
            <w:tcW w:w="2361" w:type="dxa"/>
            <w:gridSpan w:val="2"/>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开户银行</w:t>
            </w:r>
          </w:p>
        </w:tc>
        <w:tc>
          <w:tcPr>
            <w:tcW w:w="2486" w:type="dxa"/>
            <w:gridSpan w:val="2"/>
            <w:vAlign w:val="center"/>
          </w:tcPr>
          <w:p>
            <w:pPr>
              <w:autoSpaceDE w:val="0"/>
              <w:autoSpaceDN w:val="0"/>
              <w:spacing w:line="360" w:lineRule="auto"/>
              <w:jc w:val="center"/>
              <w:rPr>
                <w:rFonts w:ascii="宋体" w:hAnsi="宋体" w:cs="宋体"/>
                <w:sz w:val="24"/>
              </w:rPr>
            </w:pPr>
          </w:p>
        </w:tc>
        <w:tc>
          <w:tcPr>
            <w:tcW w:w="1404" w:type="dxa"/>
            <w:vMerge w:val="continue"/>
            <w:vAlign w:val="center"/>
          </w:tcPr>
          <w:p>
            <w:pPr>
              <w:autoSpaceDE w:val="0"/>
              <w:autoSpaceDN w:val="0"/>
              <w:spacing w:line="360" w:lineRule="auto"/>
              <w:jc w:val="center"/>
              <w:rPr>
                <w:rFonts w:ascii="宋体" w:hAnsi="宋体" w:cs="宋体"/>
                <w:sz w:val="24"/>
              </w:rPr>
            </w:pPr>
          </w:p>
        </w:tc>
        <w:tc>
          <w:tcPr>
            <w:tcW w:w="1674" w:type="dxa"/>
            <w:gridSpan w:val="3"/>
            <w:vAlign w:val="center"/>
          </w:tcPr>
          <w:p>
            <w:pPr>
              <w:autoSpaceDE w:val="0"/>
              <w:autoSpaceDN w:val="0"/>
              <w:spacing w:line="360" w:lineRule="auto"/>
              <w:jc w:val="center"/>
              <w:rPr>
                <w:rFonts w:ascii="宋体" w:hAnsi="宋体" w:cs="宋体"/>
                <w:sz w:val="24"/>
              </w:rPr>
            </w:pPr>
            <w:r>
              <w:rPr>
                <w:rFonts w:hint="eastAsia" w:ascii="宋体" w:hAnsi="宋体" w:cs="宋体"/>
                <w:sz w:val="24"/>
              </w:rPr>
              <w:t>初级职称人员</w:t>
            </w:r>
          </w:p>
        </w:tc>
        <w:tc>
          <w:tcPr>
            <w:tcW w:w="2361" w:type="dxa"/>
            <w:gridSpan w:val="2"/>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账号</w:t>
            </w:r>
          </w:p>
        </w:tc>
        <w:tc>
          <w:tcPr>
            <w:tcW w:w="2486" w:type="dxa"/>
            <w:gridSpan w:val="2"/>
            <w:vAlign w:val="center"/>
          </w:tcPr>
          <w:p>
            <w:pPr>
              <w:autoSpaceDE w:val="0"/>
              <w:autoSpaceDN w:val="0"/>
              <w:spacing w:line="360" w:lineRule="auto"/>
              <w:jc w:val="center"/>
              <w:rPr>
                <w:rFonts w:ascii="宋体" w:hAnsi="宋体" w:cs="宋体"/>
                <w:sz w:val="24"/>
              </w:rPr>
            </w:pPr>
          </w:p>
        </w:tc>
        <w:tc>
          <w:tcPr>
            <w:tcW w:w="1404" w:type="dxa"/>
            <w:vMerge w:val="continue"/>
            <w:vAlign w:val="center"/>
          </w:tcPr>
          <w:p>
            <w:pPr>
              <w:autoSpaceDE w:val="0"/>
              <w:autoSpaceDN w:val="0"/>
              <w:spacing w:line="360" w:lineRule="auto"/>
              <w:jc w:val="center"/>
              <w:rPr>
                <w:rFonts w:ascii="宋体" w:hAnsi="宋体" w:cs="宋体"/>
                <w:sz w:val="24"/>
              </w:rPr>
            </w:pPr>
          </w:p>
        </w:tc>
        <w:tc>
          <w:tcPr>
            <w:tcW w:w="1674" w:type="dxa"/>
            <w:gridSpan w:val="3"/>
            <w:vAlign w:val="center"/>
          </w:tcPr>
          <w:p>
            <w:pPr>
              <w:autoSpaceDE w:val="0"/>
              <w:autoSpaceDN w:val="0"/>
              <w:spacing w:line="360" w:lineRule="auto"/>
              <w:jc w:val="center"/>
              <w:rPr>
                <w:rFonts w:ascii="宋体" w:hAnsi="宋体" w:cs="宋体"/>
                <w:sz w:val="24"/>
              </w:rPr>
            </w:pPr>
            <w:r>
              <w:rPr>
                <w:rFonts w:hint="eastAsia" w:ascii="宋体" w:hAnsi="宋体" w:cs="宋体"/>
                <w:sz w:val="24"/>
              </w:rPr>
              <w:t>技工</w:t>
            </w:r>
          </w:p>
        </w:tc>
        <w:tc>
          <w:tcPr>
            <w:tcW w:w="2361" w:type="dxa"/>
            <w:gridSpan w:val="2"/>
            <w:vAlign w:val="center"/>
          </w:tcPr>
          <w:p>
            <w:pPr>
              <w:autoSpaceDE w:val="0"/>
              <w:autoSpaceDN w:val="0"/>
              <w:spacing w:line="360" w:lineRule="auto"/>
              <w:jc w:val="center"/>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23" w:type="dxa"/>
            <w:vAlign w:val="center"/>
          </w:tcPr>
          <w:p>
            <w:pPr>
              <w:autoSpaceDE w:val="0"/>
              <w:autoSpaceDN w:val="0"/>
              <w:spacing w:line="360" w:lineRule="auto"/>
              <w:jc w:val="center"/>
              <w:rPr>
                <w:rFonts w:ascii="宋体" w:hAnsi="宋体" w:cs="宋体"/>
                <w:sz w:val="24"/>
              </w:rPr>
            </w:pPr>
            <w:r>
              <w:rPr>
                <w:rFonts w:hint="eastAsia" w:ascii="宋体" w:hAnsi="宋体" w:cs="宋体"/>
                <w:sz w:val="24"/>
              </w:rPr>
              <w:t>经营范围</w:t>
            </w:r>
          </w:p>
        </w:tc>
        <w:tc>
          <w:tcPr>
            <w:tcW w:w="7925" w:type="dxa"/>
            <w:gridSpan w:val="8"/>
            <w:vAlign w:val="center"/>
          </w:tcPr>
          <w:p>
            <w:pPr>
              <w:autoSpaceDE w:val="0"/>
              <w:autoSpaceDN w:val="0"/>
              <w:spacing w:line="360" w:lineRule="auto"/>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23" w:type="dxa"/>
          </w:tcPr>
          <w:p>
            <w:pPr>
              <w:autoSpaceDE w:val="0"/>
              <w:autoSpaceDN w:val="0"/>
              <w:spacing w:line="360" w:lineRule="auto"/>
              <w:jc w:val="center"/>
              <w:rPr>
                <w:rFonts w:ascii="宋体" w:hAnsi="宋体" w:cs="宋体"/>
                <w:sz w:val="24"/>
              </w:rPr>
            </w:pPr>
            <w:r>
              <w:rPr>
                <w:rFonts w:hint="eastAsia" w:ascii="宋体" w:hAnsi="宋体" w:cs="宋体"/>
                <w:sz w:val="24"/>
              </w:rPr>
              <w:t>备注</w:t>
            </w:r>
          </w:p>
        </w:tc>
        <w:tc>
          <w:tcPr>
            <w:tcW w:w="7925" w:type="dxa"/>
            <w:gridSpan w:val="8"/>
          </w:tcPr>
          <w:p>
            <w:pPr>
              <w:autoSpaceDE w:val="0"/>
              <w:autoSpaceDN w:val="0"/>
              <w:spacing w:line="360" w:lineRule="auto"/>
              <w:jc w:val="left"/>
              <w:rPr>
                <w:rFonts w:ascii="宋体" w:hAnsi="宋体" w:cs="宋体"/>
                <w:sz w:val="24"/>
              </w:rPr>
            </w:pPr>
          </w:p>
        </w:tc>
      </w:tr>
    </w:tbl>
    <w:p>
      <w:pPr>
        <w:widowControl/>
        <w:spacing w:line="360" w:lineRule="auto"/>
        <w:ind w:firstLine="710" w:firstLineChars="296"/>
        <w:jc w:val="left"/>
        <w:rPr>
          <w:rFonts w:ascii="宋体" w:hAnsi="宋体" w:cs="宋体"/>
          <w:bCs/>
          <w:sz w:val="24"/>
        </w:rPr>
      </w:pPr>
      <w:r>
        <w:rPr>
          <w:rFonts w:hint="eastAsia" w:ascii="宋体" w:hAnsi="宋体" w:cs="宋体"/>
          <w:sz w:val="24"/>
        </w:rPr>
        <w:t>1、</w:t>
      </w:r>
      <w:r>
        <w:rPr>
          <w:rFonts w:hint="eastAsia" w:ascii="宋体" w:hAnsi="宋体" w:cs="宋体"/>
          <w:b/>
          <w:sz w:val="24"/>
        </w:rPr>
        <w:t>此表格中需要填写的</w:t>
      </w:r>
      <w:r>
        <w:rPr>
          <w:rFonts w:hint="eastAsia" w:ascii="宋体" w:hAnsi="宋体" w:cs="宋体"/>
          <w:sz w:val="24"/>
        </w:rPr>
        <w:t>若无涉及可不填写此项或“</w:t>
      </w:r>
      <w:r>
        <w:rPr>
          <w:rFonts w:hint="eastAsia" w:ascii="宋体" w:hAnsi="宋体" w:cs="宋体"/>
          <w:b/>
          <w:sz w:val="24"/>
        </w:rPr>
        <w:t>/</w:t>
      </w:r>
      <w:r>
        <w:rPr>
          <w:rFonts w:hint="eastAsia" w:ascii="宋体" w:hAnsi="宋体" w:cs="宋体"/>
          <w:sz w:val="24"/>
        </w:rPr>
        <w:t>”。</w:t>
      </w:r>
    </w:p>
    <w:p>
      <w:pPr>
        <w:spacing w:line="360" w:lineRule="auto"/>
        <w:jc w:val="left"/>
        <w:rPr>
          <w:rFonts w:ascii="宋体" w:hAnsi="宋体" w:cs="宋体"/>
          <w:color w:val="000000"/>
          <w:sz w:val="24"/>
        </w:rPr>
      </w:pPr>
      <w:bookmarkStart w:id="112" w:name="OLE_LINK19"/>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jc w:val="center"/>
        <w:outlineLvl w:val="1"/>
        <w:rPr>
          <w:rFonts w:ascii="宋体" w:hAnsi="宋体" w:cs="宋体"/>
          <w:b/>
          <w:bCs/>
          <w:sz w:val="32"/>
          <w:szCs w:val="32"/>
        </w:rPr>
      </w:pPr>
      <w:r>
        <w:rPr>
          <w:rFonts w:hint="eastAsia" w:ascii="宋体" w:hAnsi="宋体" w:cs="宋体"/>
          <w:bCs/>
          <w:sz w:val="24"/>
        </w:rPr>
        <w:br w:type="page"/>
      </w:r>
      <w:r>
        <w:rPr>
          <w:rFonts w:hint="eastAsia" w:ascii="宋体" w:hAnsi="宋体" w:cs="宋体"/>
          <w:b/>
          <w:bCs/>
          <w:sz w:val="32"/>
          <w:szCs w:val="32"/>
        </w:rPr>
        <w:t>四、供应商类似项目业绩一览表</w:t>
      </w:r>
    </w:p>
    <w:p>
      <w:pPr>
        <w:spacing w:line="360" w:lineRule="auto"/>
        <w:rPr>
          <w:rFonts w:ascii="宋体" w:hAnsi="宋体" w:cs="宋体"/>
          <w:color w:val="000000"/>
          <w:sz w:val="24"/>
        </w:rPr>
      </w:pPr>
    </w:p>
    <w:tbl>
      <w:tblPr>
        <w:tblStyle w:val="33"/>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360" w:lineRule="auto"/>
              <w:ind w:firstLine="120" w:firstLineChars="50"/>
              <w:jc w:val="center"/>
              <w:rPr>
                <w:rFonts w:ascii="宋体" w:hAnsi="宋体" w:cs="宋体"/>
                <w:b/>
                <w:color w:val="000000"/>
                <w:sz w:val="24"/>
              </w:rPr>
            </w:pPr>
            <w:r>
              <w:rPr>
                <w:rFonts w:hint="eastAsia" w:ascii="宋体" w:hAnsi="宋体" w:cs="宋体"/>
                <w:b/>
                <w:color w:val="000000"/>
                <w:sz w:val="24"/>
              </w:rPr>
              <w:t>年份</w:t>
            </w:r>
          </w:p>
        </w:tc>
        <w:tc>
          <w:tcPr>
            <w:tcW w:w="1439"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用户名称</w:t>
            </w:r>
          </w:p>
        </w:tc>
        <w:tc>
          <w:tcPr>
            <w:tcW w:w="1319"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项目名称</w:t>
            </w:r>
          </w:p>
        </w:tc>
        <w:tc>
          <w:tcPr>
            <w:tcW w:w="1160"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完成时间</w:t>
            </w:r>
          </w:p>
        </w:tc>
        <w:tc>
          <w:tcPr>
            <w:tcW w:w="1421" w:type="dxa"/>
            <w:gridSpan w:val="2"/>
            <w:vAlign w:val="center"/>
          </w:tcPr>
          <w:p>
            <w:pPr>
              <w:spacing w:line="360" w:lineRule="auto"/>
              <w:ind w:firstLine="120" w:firstLineChars="50"/>
              <w:jc w:val="center"/>
              <w:rPr>
                <w:rFonts w:ascii="宋体" w:hAnsi="宋体" w:cs="宋体"/>
                <w:b/>
                <w:color w:val="000000"/>
                <w:sz w:val="24"/>
              </w:rPr>
            </w:pPr>
            <w:r>
              <w:rPr>
                <w:rFonts w:hint="eastAsia" w:ascii="宋体" w:hAnsi="宋体" w:cs="宋体"/>
                <w:b/>
                <w:color w:val="000000"/>
                <w:sz w:val="24"/>
              </w:rPr>
              <w:t>合同金额</w:t>
            </w:r>
          </w:p>
        </w:tc>
        <w:tc>
          <w:tcPr>
            <w:tcW w:w="1614" w:type="dxa"/>
            <w:gridSpan w:val="2"/>
            <w:tcBorders>
              <w:right w:val="single" w:color="auto" w:sz="4" w:space="0"/>
            </w:tcBorders>
            <w:vAlign w:val="center"/>
          </w:tcPr>
          <w:p>
            <w:pPr>
              <w:spacing w:line="360" w:lineRule="auto"/>
              <w:jc w:val="center"/>
              <w:rPr>
                <w:rFonts w:ascii="宋体" w:hAnsi="宋体" w:cs="宋体"/>
                <w:b/>
                <w:color w:val="000000"/>
                <w:sz w:val="24"/>
              </w:rPr>
            </w:pPr>
            <w:r>
              <w:rPr>
                <w:rFonts w:hint="eastAsia" w:ascii="宋体" w:hAnsi="宋体" w:cs="宋体"/>
                <w:b/>
                <w:color w:val="000000"/>
                <w:sz w:val="24"/>
              </w:rPr>
              <w:t>是否通过验收</w:t>
            </w:r>
          </w:p>
        </w:tc>
        <w:tc>
          <w:tcPr>
            <w:tcW w:w="1387" w:type="dxa"/>
            <w:gridSpan w:val="2"/>
            <w:tcBorders>
              <w:left w:val="single" w:color="auto" w:sz="4" w:space="0"/>
            </w:tcBorders>
            <w:vAlign w:val="center"/>
          </w:tcPr>
          <w:p>
            <w:pPr>
              <w:spacing w:line="360" w:lineRule="auto"/>
              <w:jc w:val="center"/>
              <w:rPr>
                <w:rFonts w:ascii="宋体" w:hAnsi="宋体" w:cs="宋体"/>
                <w:b/>
                <w:color w:val="000000"/>
                <w:sz w:val="24"/>
              </w:rPr>
            </w:pPr>
            <w:r>
              <w:rPr>
                <w:rFonts w:hint="eastAsia" w:ascii="宋体" w:hAnsi="宋体" w:cs="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宋体"/>
                <w:color w:val="000000"/>
                <w:sz w:val="24"/>
              </w:rPr>
            </w:pPr>
          </w:p>
        </w:tc>
        <w:tc>
          <w:tcPr>
            <w:tcW w:w="1439" w:type="dxa"/>
            <w:vAlign w:val="center"/>
          </w:tcPr>
          <w:p>
            <w:pPr>
              <w:spacing w:line="360" w:lineRule="auto"/>
              <w:jc w:val="center"/>
              <w:rPr>
                <w:rFonts w:ascii="宋体" w:hAnsi="宋体" w:cs="宋体"/>
                <w:color w:val="000000"/>
                <w:sz w:val="24"/>
              </w:rPr>
            </w:pPr>
          </w:p>
        </w:tc>
        <w:tc>
          <w:tcPr>
            <w:tcW w:w="1319" w:type="dxa"/>
            <w:vAlign w:val="center"/>
          </w:tcPr>
          <w:p>
            <w:pPr>
              <w:spacing w:line="360" w:lineRule="auto"/>
              <w:jc w:val="center"/>
              <w:rPr>
                <w:rFonts w:ascii="宋体" w:hAnsi="宋体" w:cs="宋体"/>
                <w:color w:val="000000"/>
                <w:sz w:val="24"/>
              </w:rPr>
            </w:pPr>
          </w:p>
        </w:tc>
        <w:tc>
          <w:tcPr>
            <w:tcW w:w="1160" w:type="dxa"/>
            <w:vAlign w:val="center"/>
          </w:tcPr>
          <w:p>
            <w:pPr>
              <w:spacing w:line="360" w:lineRule="auto"/>
              <w:jc w:val="center"/>
              <w:rPr>
                <w:rFonts w:ascii="宋体" w:hAnsi="宋体" w:cs="宋体"/>
                <w:color w:val="000000"/>
                <w:sz w:val="24"/>
              </w:rPr>
            </w:pPr>
          </w:p>
        </w:tc>
        <w:tc>
          <w:tcPr>
            <w:tcW w:w="1421" w:type="dxa"/>
            <w:gridSpan w:val="2"/>
            <w:vAlign w:val="center"/>
          </w:tcPr>
          <w:p>
            <w:pPr>
              <w:spacing w:line="360" w:lineRule="auto"/>
              <w:jc w:val="center"/>
              <w:rPr>
                <w:rFonts w:ascii="宋体" w:hAnsi="宋体" w:cs="宋体"/>
                <w:color w:val="000000"/>
                <w:sz w:val="24"/>
              </w:rPr>
            </w:pPr>
          </w:p>
        </w:tc>
        <w:tc>
          <w:tcPr>
            <w:tcW w:w="1614" w:type="dxa"/>
            <w:gridSpan w:val="2"/>
            <w:tcBorders>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宋体"/>
                <w:color w:val="000000"/>
                <w:sz w:val="24"/>
              </w:rPr>
            </w:pPr>
          </w:p>
        </w:tc>
        <w:tc>
          <w:tcPr>
            <w:tcW w:w="1439" w:type="dxa"/>
            <w:vAlign w:val="center"/>
          </w:tcPr>
          <w:p>
            <w:pPr>
              <w:spacing w:line="360" w:lineRule="auto"/>
              <w:jc w:val="center"/>
              <w:rPr>
                <w:rFonts w:ascii="宋体" w:hAnsi="宋体" w:cs="宋体"/>
                <w:color w:val="000000"/>
                <w:sz w:val="24"/>
              </w:rPr>
            </w:pPr>
          </w:p>
        </w:tc>
        <w:tc>
          <w:tcPr>
            <w:tcW w:w="1319" w:type="dxa"/>
            <w:vAlign w:val="center"/>
          </w:tcPr>
          <w:p>
            <w:pPr>
              <w:spacing w:line="360" w:lineRule="auto"/>
              <w:jc w:val="center"/>
              <w:rPr>
                <w:rFonts w:ascii="宋体" w:hAnsi="宋体" w:cs="宋体"/>
                <w:color w:val="000000"/>
                <w:sz w:val="24"/>
              </w:rPr>
            </w:pPr>
          </w:p>
        </w:tc>
        <w:tc>
          <w:tcPr>
            <w:tcW w:w="1160" w:type="dxa"/>
            <w:vAlign w:val="center"/>
          </w:tcPr>
          <w:p>
            <w:pPr>
              <w:spacing w:line="360" w:lineRule="auto"/>
              <w:jc w:val="center"/>
              <w:rPr>
                <w:rFonts w:ascii="宋体" w:hAnsi="宋体" w:cs="宋体"/>
                <w:color w:val="000000"/>
                <w:sz w:val="24"/>
              </w:rPr>
            </w:pPr>
          </w:p>
        </w:tc>
        <w:tc>
          <w:tcPr>
            <w:tcW w:w="1421" w:type="dxa"/>
            <w:gridSpan w:val="2"/>
            <w:vAlign w:val="center"/>
          </w:tcPr>
          <w:p>
            <w:pPr>
              <w:spacing w:line="360" w:lineRule="auto"/>
              <w:jc w:val="center"/>
              <w:rPr>
                <w:rFonts w:ascii="宋体" w:hAnsi="宋体" w:cs="宋体"/>
                <w:color w:val="000000"/>
                <w:sz w:val="24"/>
              </w:rPr>
            </w:pPr>
          </w:p>
        </w:tc>
        <w:tc>
          <w:tcPr>
            <w:tcW w:w="1614" w:type="dxa"/>
            <w:gridSpan w:val="2"/>
            <w:tcBorders>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宋体"/>
                <w:color w:val="000000"/>
                <w:sz w:val="24"/>
              </w:rPr>
            </w:pPr>
          </w:p>
        </w:tc>
        <w:tc>
          <w:tcPr>
            <w:tcW w:w="1439" w:type="dxa"/>
            <w:vAlign w:val="center"/>
          </w:tcPr>
          <w:p>
            <w:pPr>
              <w:spacing w:line="360" w:lineRule="auto"/>
              <w:jc w:val="center"/>
              <w:rPr>
                <w:rFonts w:ascii="宋体" w:hAnsi="宋体" w:cs="宋体"/>
                <w:color w:val="000000"/>
                <w:sz w:val="24"/>
              </w:rPr>
            </w:pPr>
          </w:p>
        </w:tc>
        <w:tc>
          <w:tcPr>
            <w:tcW w:w="1319" w:type="dxa"/>
            <w:vAlign w:val="center"/>
          </w:tcPr>
          <w:p>
            <w:pPr>
              <w:spacing w:line="360" w:lineRule="auto"/>
              <w:jc w:val="center"/>
              <w:rPr>
                <w:rFonts w:ascii="宋体" w:hAnsi="宋体" w:cs="宋体"/>
                <w:color w:val="000000"/>
                <w:sz w:val="24"/>
              </w:rPr>
            </w:pPr>
          </w:p>
        </w:tc>
        <w:tc>
          <w:tcPr>
            <w:tcW w:w="1160" w:type="dxa"/>
            <w:vAlign w:val="center"/>
          </w:tcPr>
          <w:p>
            <w:pPr>
              <w:spacing w:line="360" w:lineRule="auto"/>
              <w:jc w:val="center"/>
              <w:rPr>
                <w:rFonts w:ascii="宋体" w:hAnsi="宋体" w:cs="宋体"/>
                <w:color w:val="000000"/>
                <w:sz w:val="24"/>
              </w:rPr>
            </w:pPr>
          </w:p>
        </w:tc>
        <w:tc>
          <w:tcPr>
            <w:tcW w:w="1421" w:type="dxa"/>
            <w:gridSpan w:val="2"/>
            <w:vAlign w:val="center"/>
          </w:tcPr>
          <w:p>
            <w:pPr>
              <w:spacing w:line="360" w:lineRule="auto"/>
              <w:jc w:val="center"/>
              <w:rPr>
                <w:rFonts w:ascii="宋体" w:hAnsi="宋体" w:cs="宋体"/>
                <w:color w:val="000000"/>
                <w:sz w:val="24"/>
              </w:rPr>
            </w:pPr>
          </w:p>
        </w:tc>
        <w:tc>
          <w:tcPr>
            <w:tcW w:w="1614" w:type="dxa"/>
            <w:gridSpan w:val="2"/>
            <w:tcBorders>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宋体"/>
                <w:color w:val="000000"/>
                <w:sz w:val="24"/>
              </w:rPr>
            </w:pPr>
          </w:p>
        </w:tc>
        <w:tc>
          <w:tcPr>
            <w:tcW w:w="1439" w:type="dxa"/>
            <w:tcBorders>
              <w:right w:val="single" w:color="auto" w:sz="4" w:space="0"/>
            </w:tcBorders>
            <w:vAlign w:val="center"/>
          </w:tcPr>
          <w:p>
            <w:pPr>
              <w:spacing w:line="360" w:lineRule="auto"/>
              <w:jc w:val="center"/>
              <w:rPr>
                <w:rFonts w:ascii="宋体" w:hAnsi="宋体" w:cs="宋体"/>
                <w:color w:val="000000"/>
                <w:sz w:val="24"/>
              </w:rPr>
            </w:pPr>
          </w:p>
        </w:tc>
        <w:tc>
          <w:tcPr>
            <w:tcW w:w="1319" w:type="dxa"/>
            <w:tcBorders>
              <w:left w:val="single" w:color="auto" w:sz="4" w:space="0"/>
            </w:tcBorders>
            <w:vAlign w:val="center"/>
          </w:tcPr>
          <w:p>
            <w:pPr>
              <w:spacing w:line="360" w:lineRule="auto"/>
              <w:jc w:val="center"/>
              <w:rPr>
                <w:rFonts w:ascii="宋体" w:hAnsi="宋体" w:cs="宋体"/>
                <w:color w:val="000000"/>
                <w:sz w:val="24"/>
              </w:rPr>
            </w:pPr>
          </w:p>
        </w:tc>
        <w:tc>
          <w:tcPr>
            <w:tcW w:w="1160" w:type="dxa"/>
            <w:vAlign w:val="center"/>
          </w:tcPr>
          <w:p>
            <w:pPr>
              <w:spacing w:line="360" w:lineRule="auto"/>
              <w:jc w:val="center"/>
              <w:rPr>
                <w:rFonts w:ascii="宋体" w:hAnsi="宋体" w:cs="宋体"/>
                <w:color w:val="000000"/>
                <w:sz w:val="24"/>
              </w:rPr>
            </w:pPr>
          </w:p>
        </w:tc>
        <w:tc>
          <w:tcPr>
            <w:tcW w:w="1421" w:type="dxa"/>
            <w:gridSpan w:val="2"/>
            <w:vAlign w:val="center"/>
          </w:tcPr>
          <w:p>
            <w:pPr>
              <w:spacing w:line="360" w:lineRule="auto"/>
              <w:jc w:val="center"/>
              <w:rPr>
                <w:rFonts w:ascii="宋体" w:hAnsi="宋体" w:cs="宋体"/>
                <w:color w:val="000000"/>
                <w:sz w:val="24"/>
              </w:rPr>
            </w:pPr>
          </w:p>
        </w:tc>
        <w:tc>
          <w:tcPr>
            <w:tcW w:w="1614" w:type="dxa"/>
            <w:gridSpan w:val="2"/>
            <w:tcBorders>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360" w:lineRule="auto"/>
              <w:rPr>
                <w:rFonts w:ascii="宋体" w:hAnsi="宋体" w:cs="宋体"/>
                <w:color w:val="000000"/>
                <w:sz w:val="24"/>
              </w:rPr>
            </w:pPr>
          </w:p>
        </w:tc>
        <w:tc>
          <w:tcPr>
            <w:tcW w:w="1439" w:type="dxa"/>
            <w:tcBorders>
              <w:left w:val="single" w:color="auto" w:sz="4" w:space="0"/>
              <w:right w:val="single" w:color="auto" w:sz="4" w:space="0"/>
            </w:tcBorders>
            <w:vAlign w:val="center"/>
          </w:tcPr>
          <w:p>
            <w:pPr>
              <w:spacing w:line="360" w:lineRule="auto"/>
              <w:rPr>
                <w:rFonts w:ascii="宋体" w:hAnsi="宋体" w:cs="宋体"/>
                <w:color w:val="000000"/>
                <w:sz w:val="24"/>
              </w:rPr>
            </w:pPr>
          </w:p>
        </w:tc>
        <w:tc>
          <w:tcPr>
            <w:tcW w:w="1319" w:type="dxa"/>
            <w:tcBorders>
              <w:left w:val="single" w:color="auto" w:sz="4" w:space="0"/>
              <w:right w:val="single" w:color="auto" w:sz="4" w:space="0"/>
            </w:tcBorders>
            <w:vAlign w:val="center"/>
          </w:tcPr>
          <w:p>
            <w:pPr>
              <w:spacing w:line="360" w:lineRule="auto"/>
              <w:rPr>
                <w:rFonts w:ascii="宋体" w:hAnsi="宋体" w:cs="宋体"/>
                <w:color w:val="000000"/>
                <w:sz w:val="24"/>
              </w:rPr>
            </w:pPr>
          </w:p>
        </w:tc>
        <w:tc>
          <w:tcPr>
            <w:tcW w:w="1160" w:type="dxa"/>
            <w:tcBorders>
              <w:left w:val="single" w:color="auto" w:sz="4" w:space="0"/>
              <w:right w:val="single" w:color="auto" w:sz="4" w:space="0"/>
            </w:tcBorders>
            <w:vAlign w:val="center"/>
          </w:tcPr>
          <w:p>
            <w:pPr>
              <w:spacing w:line="360" w:lineRule="auto"/>
              <w:rPr>
                <w:rFonts w:ascii="宋体" w:hAnsi="宋体" w:cs="宋体"/>
                <w:color w:val="000000"/>
                <w:sz w:val="24"/>
              </w:rPr>
            </w:pPr>
          </w:p>
        </w:tc>
        <w:tc>
          <w:tcPr>
            <w:tcW w:w="1415" w:type="dxa"/>
            <w:tcBorders>
              <w:left w:val="single" w:color="auto" w:sz="4" w:space="0"/>
              <w:right w:val="single" w:color="auto" w:sz="4" w:space="0"/>
            </w:tcBorders>
            <w:vAlign w:val="center"/>
          </w:tcPr>
          <w:p>
            <w:pPr>
              <w:spacing w:line="360" w:lineRule="auto"/>
              <w:rPr>
                <w:rFonts w:ascii="宋体" w:hAnsi="宋体" w:cs="宋体"/>
                <w:color w:val="000000"/>
                <w:sz w:val="24"/>
              </w:rPr>
            </w:pPr>
          </w:p>
        </w:tc>
        <w:tc>
          <w:tcPr>
            <w:tcW w:w="1605" w:type="dxa"/>
            <w:gridSpan w:val="2"/>
            <w:tcBorders>
              <w:left w:val="single" w:color="auto" w:sz="4" w:space="0"/>
              <w:right w:val="single" w:color="auto" w:sz="4" w:space="0"/>
            </w:tcBorders>
            <w:vAlign w:val="center"/>
          </w:tcPr>
          <w:p>
            <w:pPr>
              <w:spacing w:line="360" w:lineRule="auto"/>
              <w:rPr>
                <w:rFonts w:ascii="宋体" w:hAnsi="宋体" w:cs="宋体"/>
                <w:color w:val="000000"/>
                <w:sz w:val="24"/>
              </w:rPr>
            </w:pPr>
          </w:p>
        </w:tc>
        <w:tc>
          <w:tcPr>
            <w:tcW w:w="1392" w:type="dxa"/>
            <w:gridSpan w:val="2"/>
            <w:tcBorders>
              <w:left w:val="single" w:color="auto" w:sz="4"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rPr>
                <w:rFonts w:ascii="宋体" w:hAnsi="宋体" w:cs="宋体"/>
                <w:color w:val="000000"/>
                <w:sz w:val="24"/>
              </w:rPr>
            </w:pPr>
          </w:p>
        </w:tc>
        <w:tc>
          <w:tcPr>
            <w:tcW w:w="1439" w:type="dxa"/>
            <w:vAlign w:val="center"/>
          </w:tcPr>
          <w:p>
            <w:pPr>
              <w:spacing w:line="360" w:lineRule="auto"/>
              <w:rPr>
                <w:rFonts w:ascii="宋体" w:hAnsi="宋体" w:cs="宋体"/>
                <w:color w:val="000000"/>
                <w:sz w:val="24"/>
              </w:rPr>
            </w:pPr>
          </w:p>
        </w:tc>
        <w:tc>
          <w:tcPr>
            <w:tcW w:w="1319" w:type="dxa"/>
            <w:vAlign w:val="center"/>
          </w:tcPr>
          <w:p>
            <w:pPr>
              <w:spacing w:line="360" w:lineRule="auto"/>
              <w:rPr>
                <w:rFonts w:ascii="宋体" w:hAnsi="宋体" w:cs="宋体"/>
                <w:color w:val="000000"/>
                <w:sz w:val="24"/>
              </w:rPr>
            </w:pPr>
          </w:p>
        </w:tc>
        <w:tc>
          <w:tcPr>
            <w:tcW w:w="1160" w:type="dxa"/>
            <w:vAlign w:val="center"/>
          </w:tcPr>
          <w:p>
            <w:pPr>
              <w:spacing w:line="360" w:lineRule="auto"/>
              <w:rPr>
                <w:rFonts w:ascii="宋体" w:hAnsi="宋体" w:cs="宋体"/>
                <w:color w:val="000000"/>
                <w:sz w:val="24"/>
              </w:rPr>
            </w:pPr>
          </w:p>
        </w:tc>
        <w:tc>
          <w:tcPr>
            <w:tcW w:w="1421" w:type="dxa"/>
            <w:gridSpan w:val="2"/>
            <w:tcBorders>
              <w:right w:val="single" w:color="auto" w:sz="4" w:space="0"/>
            </w:tcBorders>
            <w:vAlign w:val="center"/>
          </w:tcPr>
          <w:p>
            <w:pPr>
              <w:spacing w:line="360" w:lineRule="auto"/>
              <w:rPr>
                <w:rFonts w:ascii="宋体" w:hAnsi="宋体" w:cs="宋体"/>
                <w:color w:val="000000"/>
                <w:sz w:val="24"/>
              </w:rPr>
            </w:pPr>
          </w:p>
        </w:tc>
        <w:tc>
          <w:tcPr>
            <w:tcW w:w="1614" w:type="dxa"/>
            <w:gridSpan w:val="2"/>
            <w:tcBorders>
              <w:left w:val="single" w:color="auto" w:sz="4" w:space="0"/>
              <w:right w:val="single" w:color="auto" w:sz="4" w:space="0"/>
            </w:tcBorders>
            <w:vAlign w:val="center"/>
          </w:tcPr>
          <w:p>
            <w:pPr>
              <w:spacing w:line="360" w:lineRule="auto"/>
              <w:rPr>
                <w:rFonts w:ascii="宋体" w:hAnsi="宋体" w:cs="宋体"/>
                <w:color w:val="000000"/>
                <w:sz w:val="24"/>
              </w:rPr>
            </w:pPr>
          </w:p>
        </w:tc>
        <w:tc>
          <w:tcPr>
            <w:tcW w:w="1387" w:type="dxa"/>
            <w:gridSpan w:val="2"/>
            <w:tcBorders>
              <w:left w:val="single" w:color="auto" w:sz="4" w:space="0"/>
            </w:tcBorders>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宋体"/>
                <w:color w:val="000000"/>
                <w:sz w:val="24"/>
              </w:rPr>
            </w:pPr>
          </w:p>
        </w:tc>
        <w:tc>
          <w:tcPr>
            <w:tcW w:w="1439" w:type="dxa"/>
            <w:vAlign w:val="center"/>
          </w:tcPr>
          <w:p>
            <w:pPr>
              <w:spacing w:line="360" w:lineRule="auto"/>
              <w:jc w:val="center"/>
              <w:rPr>
                <w:rFonts w:ascii="宋体" w:hAnsi="宋体" w:cs="宋体"/>
                <w:color w:val="000000"/>
                <w:sz w:val="24"/>
              </w:rPr>
            </w:pPr>
          </w:p>
        </w:tc>
        <w:tc>
          <w:tcPr>
            <w:tcW w:w="1319" w:type="dxa"/>
            <w:vAlign w:val="center"/>
          </w:tcPr>
          <w:p>
            <w:pPr>
              <w:spacing w:line="360" w:lineRule="auto"/>
              <w:jc w:val="center"/>
              <w:rPr>
                <w:rFonts w:ascii="宋体" w:hAnsi="宋体" w:cs="宋体"/>
                <w:color w:val="000000"/>
                <w:sz w:val="24"/>
              </w:rPr>
            </w:pPr>
          </w:p>
        </w:tc>
        <w:tc>
          <w:tcPr>
            <w:tcW w:w="1160" w:type="dxa"/>
            <w:vAlign w:val="center"/>
          </w:tcPr>
          <w:p>
            <w:pPr>
              <w:spacing w:line="360" w:lineRule="auto"/>
              <w:jc w:val="center"/>
              <w:rPr>
                <w:rFonts w:ascii="宋体" w:hAnsi="宋体" w:cs="宋体"/>
                <w:color w:val="000000"/>
                <w:sz w:val="24"/>
              </w:rPr>
            </w:pPr>
          </w:p>
        </w:tc>
        <w:tc>
          <w:tcPr>
            <w:tcW w:w="1421" w:type="dxa"/>
            <w:gridSpan w:val="2"/>
            <w:tcBorders>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left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jc w:val="center"/>
              <w:rPr>
                <w:rFonts w:ascii="宋体" w:hAnsi="宋体" w:cs="宋体"/>
                <w:color w:val="000000"/>
                <w:sz w:val="24"/>
              </w:rPr>
            </w:pPr>
          </w:p>
        </w:tc>
        <w:tc>
          <w:tcPr>
            <w:tcW w:w="1439" w:type="dxa"/>
            <w:vAlign w:val="center"/>
          </w:tcPr>
          <w:p>
            <w:pPr>
              <w:spacing w:line="360" w:lineRule="auto"/>
              <w:jc w:val="center"/>
              <w:rPr>
                <w:rFonts w:ascii="宋体" w:hAnsi="宋体" w:cs="宋体"/>
                <w:color w:val="000000"/>
                <w:sz w:val="24"/>
              </w:rPr>
            </w:pPr>
          </w:p>
        </w:tc>
        <w:tc>
          <w:tcPr>
            <w:tcW w:w="1319" w:type="dxa"/>
            <w:vAlign w:val="center"/>
          </w:tcPr>
          <w:p>
            <w:pPr>
              <w:spacing w:line="360" w:lineRule="auto"/>
              <w:jc w:val="center"/>
              <w:rPr>
                <w:rFonts w:ascii="宋体" w:hAnsi="宋体" w:cs="宋体"/>
                <w:color w:val="000000"/>
                <w:sz w:val="24"/>
              </w:rPr>
            </w:pPr>
          </w:p>
        </w:tc>
        <w:tc>
          <w:tcPr>
            <w:tcW w:w="1160" w:type="dxa"/>
            <w:vAlign w:val="center"/>
          </w:tcPr>
          <w:p>
            <w:pPr>
              <w:spacing w:line="360" w:lineRule="auto"/>
              <w:jc w:val="center"/>
              <w:rPr>
                <w:rFonts w:ascii="宋体" w:hAnsi="宋体" w:cs="宋体"/>
                <w:color w:val="000000"/>
                <w:sz w:val="24"/>
              </w:rPr>
            </w:pPr>
          </w:p>
        </w:tc>
        <w:tc>
          <w:tcPr>
            <w:tcW w:w="1421" w:type="dxa"/>
            <w:gridSpan w:val="2"/>
            <w:tcBorders>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left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360" w:lineRule="auto"/>
              <w:jc w:val="center"/>
              <w:rPr>
                <w:rFonts w:ascii="宋体" w:hAnsi="宋体" w:cs="宋体"/>
                <w:color w:val="000000"/>
                <w:sz w:val="24"/>
              </w:rPr>
            </w:pPr>
          </w:p>
        </w:tc>
        <w:tc>
          <w:tcPr>
            <w:tcW w:w="1439" w:type="dxa"/>
            <w:tcBorders>
              <w:bottom w:val="single" w:color="auto" w:sz="4" w:space="0"/>
            </w:tcBorders>
            <w:vAlign w:val="center"/>
          </w:tcPr>
          <w:p>
            <w:pPr>
              <w:spacing w:line="360" w:lineRule="auto"/>
              <w:jc w:val="center"/>
              <w:rPr>
                <w:rFonts w:ascii="宋体" w:hAnsi="宋体" w:cs="宋体"/>
                <w:color w:val="000000"/>
                <w:sz w:val="24"/>
              </w:rPr>
            </w:pPr>
          </w:p>
        </w:tc>
        <w:tc>
          <w:tcPr>
            <w:tcW w:w="1319" w:type="dxa"/>
            <w:tcBorders>
              <w:bottom w:val="single" w:color="auto" w:sz="4" w:space="0"/>
            </w:tcBorders>
            <w:vAlign w:val="center"/>
          </w:tcPr>
          <w:p>
            <w:pPr>
              <w:spacing w:line="360" w:lineRule="auto"/>
              <w:jc w:val="center"/>
              <w:rPr>
                <w:rFonts w:ascii="宋体" w:hAnsi="宋体" w:cs="宋体"/>
                <w:color w:val="000000"/>
                <w:sz w:val="24"/>
              </w:rPr>
            </w:pPr>
          </w:p>
        </w:tc>
        <w:tc>
          <w:tcPr>
            <w:tcW w:w="1160" w:type="dxa"/>
            <w:tcBorders>
              <w:bottom w:val="single" w:color="auto" w:sz="4" w:space="0"/>
            </w:tcBorders>
            <w:vAlign w:val="center"/>
          </w:tcPr>
          <w:p>
            <w:pPr>
              <w:spacing w:line="360" w:lineRule="auto"/>
              <w:jc w:val="center"/>
              <w:rPr>
                <w:rFonts w:ascii="宋体" w:hAnsi="宋体" w:cs="宋体"/>
                <w:color w:val="000000"/>
                <w:sz w:val="24"/>
              </w:rPr>
            </w:pPr>
          </w:p>
        </w:tc>
        <w:tc>
          <w:tcPr>
            <w:tcW w:w="1421" w:type="dxa"/>
            <w:gridSpan w:val="2"/>
            <w:tcBorders>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left w:val="single" w:color="auto" w:sz="4" w:space="0"/>
              <w:bottom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439"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319"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160"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421"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439"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319"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160"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421"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439"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319"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160" w:type="dxa"/>
            <w:tcBorders>
              <w:top w:val="single" w:color="auto" w:sz="4" w:space="0"/>
              <w:bottom w:val="single" w:color="auto" w:sz="4" w:space="0"/>
            </w:tcBorders>
            <w:vAlign w:val="center"/>
          </w:tcPr>
          <w:p>
            <w:pPr>
              <w:spacing w:line="360" w:lineRule="auto"/>
              <w:jc w:val="center"/>
              <w:rPr>
                <w:rFonts w:ascii="宋体" w:hAnsi="宋体" w:cs="宋体"/>
                <w:color w:val="000000"/>
                <w:sz w:val="24"/>
              </w:rPr>
            </w:pPr>
          </w:p>
        </w:tc>
        <w:tc>
          <w:tcPr>
            <w:tcW w:w="1421"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360" w:lineRule="auto"/>
              <w:jc w:val="center"/>
              <w:rPr>
                <w:rFonts w:ascii="宋体" w:hAnsi="宋体" w:cs="宋体"/>
                <w:color w:val="000000"/>
                <w:sz w:val="24"/>
              </w:rPr>
            </w:pPr>
          </w:p>
        </w:tc>
        <w:tc>
          <w:tcPr>
            <w:tcW w:w="1439" w:type="dxa"/>
            <w:tcBorders>
              <w:top w:val="single" w:color="auto" w:sz="4" w:space="0"/>
            </w:tcBorders>
            <w:vAlign w:val="center"/>
          </w:tcPr>
          <w:p>
            <w:pPr>
              <w:spacing w:line="360" w:lineRule="auto"/>
              <w:jc w:val="center"/>
              <w:rPr>
                <w:rFonts w:ascii="宋体" w:hAnsi="宋体" w:cs="宋体"/>
                <w:color w:val="000000"/>
                <w:sz w:val="24"/>
              </w:rPr>
            </w:pPr>
          </w:p>
        </w:tc>
        <w:tc>
          <w:tcPr>
            <w:tcW w:w="1319" w:type="dxa"/>
            <w:tcBorders>
              <w:top w:val="single" w:color="auto" w:sz="4" w:space="0"/>
            </w:tcBorders>
            <w:vAlign w:val="center"/>
          </w:tcPr>
          <w:p>
            <w:pPr>
              <w:spacing w:line="360" w:lineRule="auto"/>
              <w:jc w:val="center"/>
              <w:rPr>
                <w:rFonts w:ascii="宋体" w:hAnsi="宋体" w:cs="宋体"/>
                <w:color w:val="000000"/>
                <w:sz w:val="24"/>
              </w:rPr>
            </w:pPr>
          </w:p>
        </w:tc>
        <w:tc>
          <w:tcPr>
            <w:tcW w:w="1160" w:type="dxa"/>
            <w:tcBorders>
              <w:top w:val="single" w:color="auto" w:sz="4" w:space="0"/>
            </w:tcBorders>
            <w:vAlign w:val="center"/>
          </w:tcPr>
          <w:p>
            <w:pPr>
              <w:spacing w:line="360" w:lineRule="auto"/>
              <w:jc w:val="center"/>
              <w:rPr>
                <w:rFonts w:ascii="宋体" w:hAnsi="宋体" w:cs="宋体"/>
                <w:color w:val="000000"/>
                <w:sz w:val="24"/>
              </w:rPr>
            </w:pPr>
          </w:p>
        </w:tc>
        <w:tc>
          <w:tcPr>
            <w:tcW w:w="1421" w:type="dxa"/>
            <w:gridSpan w:val="2"/>
            <w:tcBorders>
              <w:top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614"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387" w:type="dxa"/>
            <w:gridSpan w:val="2"/>
            <w:tcBorders>
              <w:top w:val="single" w:color="auto" w:sz="4" w:space="0"/>
              <w:left w:val="single" w:color="auto" w:sz="4" w:space="0"/>
            </w:tcBorders>
            <w:vAlign w:val="center"/>
          </w:tcPr>
          <w:p>
            <w:pPr>
              <w:spacing w:line="360" w:lineRule="auto"/>
              <w:jc w:val="center"/>
              <w:rPr>
                <w:rFonts w:ascii="宋体" w:hAnsi="宋体" w:cs="宋体"/>
                <w:color w:val="000000"/>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2" w:firstLineChars="200"/>
        <w:rPr>
          <w:rFonts w:ascii="宋体" w:hAnsi="宋体" w:cs="宋体"/>
          <w:b/>
          <w:bCs/>
          <w:color w:val="000000"/>
          <w:sz w:val="24"/>
        </w:rPr>
      </w:pPr>
      <w:r>
        <w:rPr>
          <w:rFonts w:hint="eastAsia" w:ascii="宋体" w:hAnsi="宋体" w:cs="宋体"/>
          <w:b/>
          <w:bCs/>
          <w:color w:val="000000"/>
          <w:sz w:val="24"/>
        </w:rPr>
        <w:t>注：供应商以上业绩需提供有关书面证明材料。</w:t>
      </w:r>
    </w:p>
    <w:p>
      <w:pPr>
        <w:spacing w:line="360" w:lineRule="auto"/>
        <w:jc w:val="center"/>
        <w:rPr>
          <w:rFonts w:ascii="宋体" w:hAnsi="宋体" w:cs="宋体"/>
          <w:color w:val="000000"/>
          <w:sz w:val="24"/>
        </w:rPr>
      </w:pPr>
    </w:p>
    <w:p>
      <w:pPr>
        <w:spacing w:line="360" w:lineRule="auto"/>
        <w:jc w:val="left"/>
        <w:rPr>
          <w:rFonts w:ascii="宋体" w:hAnsi="宋体" w:cs="宋体"/>
          <w:color w:val="000000"/>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ind w:firstLine="480" w:firstLineChars="200"/>
        <w:rPr>
          <w:rFonts w:ascii="宋体" w:hAnsi="宋体" w:cs="宋体"/>
          <w:sz w:val="24"/>
        </w:rPr>
      </w:pPr>
    </w:p>
    <w:bookmarkEnd w:id="112"/>
    <w:p>
      <w:pPr>
        <w:spacing w:line="360" w:lineRule="auto"/>
        <w:rPr>
          <w:rFonts w:ascii="宋体" w:hAnsi="宋体" w:cs="宋体"/>
          <w:color w:val="000000"/>
          <w:sz w:val="24"/>
        </w:rPr>
      </w:pPr>
    </w:p>
    <w:p>
      <w:pPr>
        <w:pStyle w:val="5"/>
        <w:spacing w:before="0" w:after="0" w:line="360" w:lineRule="auto"/>
        <w:jc w:val="center"/>
        <w:rPr>
          <w:rFonts w:ascii="宋体" w:hAnsi="宋体" w:eastAsia="宋体" w:cs="宋体"/>
        </w:rPr>
      </w:pPr>
      <w:bookmarkStart w:id="113" w:name="_Toc321063836"/>
      <w:r>
        <w:rPr>
          <w:rFonts w:hint="eastAsia" w:ascii="宋体" w:hAnsi="宋体" w:eastAsia="宋体" w:cs="宋体"/>
        </w:rPr>
        <w:br w:type="page"/>
      </w:r>
      <w:r>
        <w:rPr>
          <w:rFonts w:hint="eastAsia" w:ascii="宋体" w:hAnsi="宋体" w:eastAsia="宋体" w:cs="宋体"/>
        </w:rPr>
        <w:t>五、</w:t>
      </w:r>
      <w:bookmarkEnd w:id="113"/>
      <w:r>
        <w:rPr>
          <w:rFonts w:hint="eastAsia" w:ascii="宋体" w:hAnsi="宋体" w:eastAsia="宋体" w:cs="宋体"/>
        </w:rPr>
        <w:t>服务应答表</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103"/>
        <w:gridCol w:w="1928"/>
        <w:gridCol w:w="261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96" w:type="pct"/>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序号</w:t>
            </w:r>
          </w:p>
        </w:tc>
        <w:tc>
          <w:tcPr>
            <w:tcW w:w="1219" w:type="pct"/>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磋商文件条目号</w:t>
            </w:r>
          </w:p>
        </w:tc>
        <w:tc>
          <w:tcPr>
            <w:tcW w:w="1118" w:type="pct"/>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磋商文件要求</w:t>
            </w:r>
          </w:p>
        </w:tc>
        <w:tc>
          <w:tcPr>
            <w:tcW w:w="1513" w:type="pct"/>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响应文件的应答</w:t>
            </w:r>
          </w:p>
        </w:tc>
        <w:tc>
          <w:tcPr>
            <w:tcW w:w="651" w:type="pct"/>
            <w:vAlign w:val="center"/>
          </w:tcPr>
          <w:p>
            <w:pPr>
              <w:tabs>
                <w:tab w:val="left" w:pos="6880"/>
              </w:tabs>
              <w:spacing w:line="360" w:lineRule="auto"/>
              <w:jc w:val="center"/>
              <w:rPr>
                <w:rFonts w:ascii="宋体" w:hAnsi="宋体" w:cs="宋体"/>
                <w:b/>
                <w:kern w:val="0"/>
                <w:sz w:val="24"/>
              </w:rPr>
            </w:pPr>
            <w:r>
              <w:rPr>
                <w:rFonts w:hint="eastAsia" w:ascii="宋体" w:hAnsi="宋体" w:cs="宋体"/>
                <w:b/>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pPr>
              <w:tabs>
                <w:tab w:val="left" w:pos="34"/>
              </w:tabs>
              <w:spacing w:line="360" w:lineRule="auto"/>
              <w:jc w:val="center"/>
              <w:rPr>
                <w:rFonts w:ascii="宋体" w:hAnsi="宋体" w:cs="宋体"/>
                <w:kern w:val="0"/>
                <w:sz w:val="24"/>
              </w:rPr>
            </w:pPr>
            <w:r>
              <w:rPr>
                <w:rFonts w:hint="eastAsia" w:ascii="宋体" w:hAnsi="宋体" w:cs="宋体"/>
                <w:kern w:val="0"/>
                <w:sz w:val="24"/>
              </w:rPr>
              <w:t>1</w:t>
            </w:r>
          </w:p>
        </w:tc>
        <w:tc>
          <w:tcPr>
            <w:tcW w:w="1219" w:type="pct"/>
            <w:vAlign w:val="center"/>
          </w:tcPr>
          <w:p>
            <w:pPr>
              <w:tabs>
                <w:tab w:val="left" w:pos="6880"/>
              </w:tabs>
              <w:spacing w:line="360" w:lineRule="auto"/>
              <w:ind w:firstLine="480" w:firstLineChars="200"/>
              <w:jc w:val="center"/>
              <w:rPr>
                <w:rFonts w:ascii="宋体" w:hAnsi="宋体" w:cs="宋体"/>
                <w:kern w:val="0"/>
                <w:sz w:val="24"/>
              </w:rPr>
            </w:pPr>
          </w:p>
        </w:tc>
        <w:tc>
          <w:tcPr>
            <w:tcW w:w="1118" w:type="pct"/>
            <w:vAlign w:val="center"/>
          </w:tcPr>
          <w:p>
            <w:pPr>
              <w:tabs>
                <w:tab w:val="left" w:pos="6880"/>
              </w:tabs>
              <w:spacing w:line="360" w:lineRule="auto"/>
              <w:ind w:firstLine="480" w:firstLineChars="200"/>
              <w:rPr>
                <w:rFonts w:ascii="宋体" w:hAnsi="宋体" w:cs="宋体"/>
                <w:kern w:val="0"/>
                <w:sz w:val="24"/>
              </w:rPr>
            </w:pPr>
          </w:p>
        </w:tc>
        <w:tc>
          <w:tcPr>
            <w:tcW w:w="1513" w:type="pct"/>
            <w:vAlign w:val="center"/>
          </w:tcPr>
          <w:p>
            <w:pPr>
              <w:tabs>
                <w:tab w:val="left" w:pos="6880"/>
              </w:tabs>
              <w:spacing w:line="360" w:lineRule="auto"/>
              <w:ind w:firstLine="480" w:firstLineChars="200"/>
              <w:rPr>
                <w:rFonts w:ascii="宋体" w:hAnsi="宋体" w:cs="宋体"/>
                <w:kern w:val="0"/>
                <w:sz w:val="24"/>
              </w:rPr>
            </w:pPr>
          </w:p>
        </w:tc>
        <w:tc>
          <w:tcPr>
            <w:tcW w:w="651" w:type="pct"/>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pPr>
              <w:tabs>
                <w:tab w:val="left" w:pos="34"/>
              </w:tabs>
              <w:spacing w:line="360" w:lineRule="auto"/>
              <w:jc w:val="center"/>
              <w:rPr>
                <w:rFonts w:ascii="宋体" w:hAnsi="宋体" w:cs="宋体"/>
                <w:kern w:val="0"/>
                <w:sz w:val="24"/>
              </w:rPr>
            </w:pPr>
            <w:r>
              <w:rPr>
                <w:rFonts w:hint="eastAsia" w:ascii="宋体" w:hAnsi="宋体" w:cs="宋体"/>
                <w:kern w:val="0"/>
                <w:sz w:val="24"/>
              </w:rPr>
              <w:t>2</w:t>
            </w:r>
          </w:p>
        </w:tc>
        <w:tc>
          <w:tcPr>
            <w:tcW w:w="1219" w:type="pct"/>
            <w:vAlign w:val="center"/>
          </w:tcPr>
          <w:p>
            <w:pPr>
              <w:tabs>
                <w:tab w:val="left" w:pos="6880"/>
              </w:tabs>
              <w:spacing w:line="360" w:lineRule="auto"/>
              <w:ind w:firstLine="480" w:firstLineChars="200"/>
              <w:jc w:val="center"/>
              <w:rPr>
                <w:rFonts w:ascii="宋体" w:hAnsi="宋体" w:cs="宋体"/>
                <w:kern w:val="0"/>
                <w:sz w:val="24"/>
              </w:rPr>
            </w:pPr>
          </w:p>
        </w:tc>
        <w:tc>
          <w:tcPr>
            <w:tcW w:w="1118" w:type="pct"/>
            <w:vAlign w:val="center"/>
          </w:tcPr>
          <w:p>
            <w:pPr>
              <w:tabs>
                <w:tab w:val="left" w:pos="6880"/>
              </w:tabs>
              <w:spacing w:line="360" w:lineRule="auto"/>
              <w:ind w:firstLine="480" w:firstLineChars="200"/>
              <w:rPr>
                <w:rFonts w:ascii="宋体" w:hAnsi="宋体" w:cs="宋体"/>
                <w:kern w:val="0"/>
                <w:sz w:val="24"/>
              </w:rPr>
            </w:pPr>
          </w:p>
        </w:tc>
        <w:tc>
          <w:tcPr>
            <w:tcW w:w="1513" w:type="pct"/>
            <w:vAlign w:val="center"/>
          </w:tcPr>
          <w:p>
            <w:pPr>
              <w:tabs>
                <w:tab w:val="left" w:pos="6880"/>
              </w:tabs>
              <w:spacing w:line="360" w:lineRule="auto"/>
              <w:ind w:firstLine="480" w:firstLineChars="200"/>
              <w:rPr>
                <w:rFonts w:ascii="宋体" w:hAnsi="宋体" w:cs="宋体"/>
                <w:kern w:val="0"/>
                <w:sz w:val="24"/>
              </w:rPr>
            </w:pPr>
          </w:p>
        </w:tc>
        <w:tc>
          <w:tcPr>
            <w:tcW w:w="651" w:type="pct"/>
            <w:vAlign w:val="center"/>
          </w:tcPr>
          <w:p>
            <w:pPr>
              <w:tabs>
                <w:tab w:val="left" w:pos="6880"/>
              </w:tabs>
              <w:spacing w:line="360" w:lineRule="auto"/>
              <w:ind w:firstLine="480" w:firstLineChars="200"/>
              <w:rPr>
                <w:rFonts w:ascii="宋体" w:hAnsi="宋体" w:cs="宋体"/>
                <w:kern w:val="0"/>
                <w:sz w:val="24"/>
              </w:rPr>
            </w:pPr>
          </w:p>
        </w:tc>
      </w:tr>
      <w:tr>
        <w:tblPrEx>
          <w:tblCellMar>
            <w:top w:w="0" w:type="dxa"/>
            <w:left w:w="108" w:type="dxa"/>
            <w:bottom w:w="0" w:type="dxa"/>
            <w:right w:w="108" w:type="dxa"/>
          </w:tblCellMar>
        </w:tblPrEx>
        <w:tc>
          <w:tcPr>
            <w:tcW w:w="496" w:type="pct"/>
            <w:vAlign w:val="center"/>
          </w:tcPr>
          <w:p>
            <w:pPr>
              <w:tabs>
                <w:tab w:val="left" w:pos="34"/>
              </w:tabs>
              <w:spacing w:line="360" w:lineRule="auto"/>
              <w:jc w:val="center"/>
              <w:rPr>
                <w:rFonts w:ascii="宋体" w:hAnsi="宋体" w:cs="宋体"/>
                <w:kern w:val="0"/>
                <w:sz w:val="24"/>
              </w:rPr>
            </w:pPr>
            <w:r>
              <w:rPr>
                <w:rFonts w:hint="eastAsia" w:ascii="宋体" w:hAnsi="宋体" w:cs="宋体"/>
                <w:kern w:val="0"/>
                <w:sz w:val="24"/>
              </w:rPr>
              <w:t>3</w:t>
            </w:r>
          </w:p>
        </w:tc>
        <w:tc>
          <w:tcPr>
            <w:tcW w:w="1219" w:type="pct"/>
            <w:vAlign w:val="center"/>
          </w:tcPr>
          <w:p>
            <w:pPr>
              <w:tabs>
                <w:tab w:val="left" w:pos="6880"/>
              </w:tabs>
              <w:spacing w:line="360" w:lineRule="auto"/>
              <w:ind w:firstLine="480" w:firstLineChars="200"/>
              <w:jc w:val="center"/>
              <w:rPr>
                <w:rFonts w:ascii="宋体" w:hAnsi="宋体" w:cs="宋体"/>
                <w:kern w:val="0"/>
                <w:sz w:val="24"/>
              </w:rPr>
            </w:pPr>
          </w:p>
        </w:tc>
        <w:tc>
          <w:tcPr>
            <w:tcW w:w="1118" w:type="pct"/>
            <w:vAlign w:val="center"/>
          </w:tcPr>
          <w:p>
            <w:pPr>
              <w:tabs>
                <w:tab w:val="left" w:pos="6880"/>
              </w:tabs>
              <w:spacing w:line="360" w:lineRule="auto"/>
              <w:ind w:firstLine="480" w:firstLineChars="200"/>
              <w:rPr>
                <w:rFonts w:ascii="宋体" w:hAnsi="宋体" w:cs="宋体"/>
                <w:kern w:val="0"/>
                <w:sz w:val="24"/>
              </w:rPr>
            </w:pPr>
          </w:p>
        </w:tc>
        <w:tc>
          <w:tcPr>
            <w:tcW w:w="1513" w:type="pct"/>
            <w:vAlign w:val="center"/>
          </w:tcPr>
          <w:p>
            <w:pPr>
              <w:tabs>
                <w:tab w:val="left" w:pos="6880"/>
              </w:tabs>
              <w:spacing w:line="360" w:lineRule="auto"/>
              <w:ind w:firstLine="480" w:firstLineChars="200"/>
              <w:rPr>
                <w:rFonts w:ascii="宋体" w:hAnsi="宋体" w:cs="宋体"/>
                <w:kern w:val="0"/>
                <w:sz w:val="24"/>
              </w:rPr>
            </w:pPr>
          </w:p>
        </w:tc>
        <w:tc>
          <w:tcPr>
            <w:tcW w:w="651" w:type="pct"/>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pPr>
              <w:tabs>
                <w:tab w:val="left" w:pos="34"/>
              </w:tabs>
              <w:spacing w:line="360" w:lineRule="auto"/>
              <w:jc w:val="center"/>
              <w:rPr>
                <w:rFonts w:ascii="宋体" w:hAnsi="宋体" w:cs="宋体"/>
                <w:kern w:val="0"/>
                <w:sz w:val="24"/>
              </w:rPr>
            </w:pPr>
            <w:r>
              <w:rPr>
                <w:rFonts w:hint="eastAsia" w:ascii="宋体" w:hAnsi="宋体" w:cs="宋体"/>
                <w:kern w:val="0"/>
                <w:sz w:val="24"/>
              </w:rPr>
              <w:t>4</w:t>
            </w:r>
          </w:p>
        </w:tc>
        <w:tc>
          <w:tcPr>
            <w:tcW w:w="1219" w:type="pct"/>
            <w:vAlign w:val="center"/>
          </w:tcPr>
          <w:p>
            <w:pPr>
              <w:tabs>
                <w:tab w:val="left" w:pos="6880"/>
              </w:tabs>
              <w:spacing w:line="360" w:lineRule="auto"/>
              <w:ind w:firstLine="480" w:firstLineChars="200"/>
              <w:jc w:val="center"/>
              <w:rPr>
                <w:rFonts w:ascii="宋体" w:hAnsi="宋体" w:cs="宋体"/>
                <w:kern w:val="0"/>
                <w:sz w:val="24"/>
              </w:rPr>
            </w:pPr>
          </w:p>
        </w:tc>
        <w:tc>
          <w:tcPr>
            <w:tcW w:w="1118" w:type="pct"/>
            <w:vAlign w:val="center"/>
          </w:tcPr>
          <w:p>
            <w:pPr>
              <w:tabs>
                <w:tab w:val="left" w:pos="6880"/>
              </w:tabs>
              <w:spacing w:line="360" w:lineRule="auto"/>
              <w:ind w:firstLine="480" w:firstLineChars="200"/>
              <w:rPr>
                <w:rFonts w:ascii="宋体" w:hAnsi="宋体" w:cs="宋体"/>
                <w:kern w:val="0"/>
                <w:sz w:val="24"/>
              </w:rPr>
            </w:pPr>
          </w:p>
        </w:tc>
        <w:tc>
          <w:tcPr>
            <w:tcW w:w="1513" w:type="pct"/>
            <w:vAlign w:val="center"/>
          </w:tcPr>
          <w:p>
            <w:pPr>
              <w:tabs>
                <w:tab w:val="left" w:pos="6880"/>
              </w:tabs>
              <w:spacing w:line="360" w:lineRule="auto"/>
              <w:ind w:firstLine="480" w:firstLineChars="200"/>
              <w:rPr>
                <w:rFonts w:ascii="宋体" w:hAnsi="宋体" w:cs="宋体"/>
                <w:kern w:val="0"/>
                <w:sz w:val="24"/>
              </w:rPr>
            </w:pPr>
          </w:p>
        </w:tc>
        <w:tc>
          <w:tcPr>
            <w:tcW w:w="651" w:type="pct"/>
            <w:vAlign w:val="center"/>
          </w:tcPr>
          <w:p>
            <w:pPr>
              <w:tabs>
                <w:tab w:val="left" w:pos="6880"/>
              </w:tabs>
              <w:spacing w:line="360" w:lineRule="auto"/>
              <w:ind w:firstLine="480" w:firstLineChars="20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pct"/>
            <w:vAlign w:val="center"/>
          </w:tcPr>
          <w:p>
            <w:pPr>
              <w:tabs>
                <w:tab w:val="left" w:pos="34"/>
              </w:tabs>
              <w:spacing w:line="360" w:lineRule="auto"/>
              <w:jc w:val="center"/>
              <w:rPr>
                <w:rFonts w:ascii="宋体" w:hAnsi="宋体" w:cs="宋体"/>
                <w:kern w:val="0"/>
                <w:sz w:val="24"/>
              </w:rPr>
            </w:pPr>
            <w:r>
              <w:rPr>
                <w:rFonts w:hint="eastAsia" w:ascii="宋体" w:hAnsi="宋体" w:cs="宋体"/>
                <w:kern w:val="0"/>
                <w:sz w:val="24"/>
              </w:rPr>
              <w:t>5</w:t>
            </w:r>
          </w:p>
        </w:tc>
        <w:tc>
          <w:tcPr>
            <w:tcW w:w="1219" w:type="pct"/>
            <w:vAlign w:val="center"/>
          </w:tcPr>
          <w:p>
            <w:pPr>
              <w:tabs>
                <w:tab w:val="left" w:pos="6880"/>
              </w:tabs>
              <w:spacing w:line="360" w:lineRule="auto"/>
              <w:ind w:firstLine="480" w:firstLineChars="200"/>
              <w:jc w:val="center"/>
              <w:rPr>
                <w:rFonts w:ascii="宋体" w:hAnsi="宋体" w:cs="宋体"/>
                <w:kern w:val="0"/>
                <w:sz w:val="24"/>
              </w:rPr>
            </w:pPr>
          </w:p>
        </w:tc>
        <w:tc>
          <w:tcPr>
            <w:tcW w:w="1118" w:type="pct"/>
            <w:vAlign w:val="center"/>
          </w:tcPr>
          <w:p>
            <w:pPr>
              <w:tabs>
                <w:tab w:val="left" w:pos="6880"/>
              </w:tabs>
              <w:spacing w:line="360" w:lineRule="auto"/>
              <w:ind w:firstLine="480" w:firstLineChars="200"/>
              <w:rPr>
                <w:rFonts w:ascii="宋体" w:hAnsi="宋体" w:cs="宋体"/>
                <w:kern w:val="0"/>
                <w:sz w:val="24"/>
              </w:rPr>
            </w:pPr>
          </w:p>
        </w:tc>
        <w:tc>
          <w:tcPr>
            <w:tcW w:w="1513" w:type="pct"/>
            <w:vAlign w:val="center"/>
          </w:tcPr>
          <w:p>
            <w:pPr>
              <w:tabs>
                <w:tab w:val="left" w:pos="6880"/>
              </w:tabs>
              <w:spacing w:line="360" w:lineRule="auto"/>
              <w:ind w:firstLine="480" w:firstLineChars="200"/>
              <w:rPr>
                <w:rFonts w:ascii="宋体" w:hAnsi="宋体" w:cs="宋体"/>
                <w:kern w:val="0"/>
                <w:sz w:val="24"/>
              </w:rPr>
            </w:pPr>
          </w:p>
        </w:tc>
        <w:tc>
          <w:tcPr>
            <w:tcW w:w="651" w:type="pct"/>
            <w:vAlign w:val="center"/>
          </w:tcPr>
          <w:p>
            <w:pPr>
              <w:tabs>
                <w:tab w:val="left" w:pos="6880"/>
              </w:tabs>
              <w:spacing w:line="360" w:lineRule="auto"/>
              <w:ind w:firstLine="480" w:firstLineChars="200"/>
              <w:rPr>
                <w:rFonts w:ascii="宋体" w:hAnsi="宋体" w:cs="宋体"/>
                <w:kern w:val="0"/>
                <w:sz w:val="24"/>
              </w:rPr>
            </w:pPr>
          </w:p>
        </w:tc>
      </w:tr>
    </w:tbl>
    <w:p>
      <w:pPr>
        <w:widowControl/>
        <w:spacing w:line="360" w:lineRule="auto"/>
        <w:ind w:firstLine="472" w:firstLineChars="196"/>
        <w:jc w:val="left"/>
        <w:rPr>
          <w:rFonts w:ascii="宋体" w:hAnsi="宋体" w:cs="宋体"/>
          <w:b/>
          <w:sz w:val="24"/>
        </w:rPr>
      </w:pPr>
      <w:r>
        <w:rPr>
          <w:rFonts w:hint="eastAsia" w:ascii="宋体" w:hAnsi="宋体" w:cs="宋体"/>
          <w:b/>
          <w:sz w:val="24"/>
        </w:rPr>
        <w:t>注：1. 供应商必须把磋商文件第五章的全部服务内容及要求事项列入此表，</w:t>
      </w:r>
      <w:r>
        <w:rPr>
          <w:rFonts w:hint="eastAsia" w:ascii="宋体" w:hAnsi="宋体" w:cs="宋体"/>
          <w:sz w:val="24"/>
        </w:rPr>
        <w:t>并在本表后</w:t>
      </w:r>
      <w:r>
        <w:rPr>
          <w:rFonts w:hint="eastAsia" w:ascii="宋体" w:hAnsi="宋体" w:cs="宋体"/>
          <w:b/>
          <w:bCs/>
          <w:sz w:val="24"/>
        </w:rPr>
        <w:t>提供第五章和第七章中与服务内容及要求相关的证明材料（若涉及）</w:t>
      </w:r>
      <w:r>
        <w:rPr>
          <w:rFonts w:hint="eastAsia" w:ascii="宋体" w:hAnsi="宋体" w:cs="宋体"/>
          <w:sz w:val="24"/>
        </w:rPr>
        <w:t>。</w:t>
      </w:r>
    </w:p>
    <w:p>
      <w:pPr>
        <w:spacing w:line="360" w:lineRule="auto"/>
        <w:ind w:firstLine="590" w:firstLineChars="245"/>
        <w:rPr>
          <w:rFonts w:ascii="宋体" w:hAnsi="宋体" w:cs="宋体"/>
          <w:b/>
          <w:sz w:val="24"/>
        </w:rPr>
      </w:pPr>
      <w:r>
        <w:rPr>
          <w:rFonts w:hint="eastAsia" w:ascii="宋体" w:hAnsi="宋体" w:cs="宋体"/>
          <w:b/>
          <w:sz w:val="24"/>
        </w:rPr>
        <w:t>2．按照磋商项目第五章的全部服务内容及要求事项的顺序对应填写。</w:t>
      </w:r>
    </w:p>
    <w:p>
      <w:pPr>
        <w:spacing w:line="360" w:lineRule="auto"/>
        <w:ind w:firstLine="590" w:firstLineChars="245"/>
        <w:rPr>
          <w:rFonts w:ascii="宋体" w:hAnsi="宋体" w:cs="宋体"/>
          <w:bCs/>
          <w:color w:val="000000"/>
          <w:spacing w:val="8"/>
          <w:sz w:val="24"/>
        </w:rPr>
      </w:pPr>
      <w:r>
        <w:rPr>
          <w:rFonts w:hint="eastAsia" w:ascii="宋体" w:hAnsi="宋体" w:cs="宋体"/>
          <w:b/>
          <w:sz w:val="24"/>
        </w:rPr>
        <w:t>3．供应商必须据实填写，不得虚假填写，否则将取消其报价或成交资格。</w:t>
      </w:r>
    </w:p>
    <w:p>
      <w:pPr>
        <w:spacing w:line="360" w:lineRule="auto"/>
        <w:rPr>
          <w:rFonts w:ascii="宋体" w:hAnsi="宋体" w:cs="宋体"/>
          <w:bCs/>
          <w:color w:val="000000"/>
          <w:spacing w:val="8"/>
          <w:sz w:val="24"/>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jc w:val="center"/>
        <w:outlineLvl w:val="1"/>
        <w:rPr>
          <w:rFonts w:ascii="宋体" w:hAnsi="宋体" w:cs="宋体"/>
          <w:b/>
          <w:bCs/>
          <w:sz w:val="32"/>
          <w:szCs w:val="32"/>
        </w:rPr>
      </w:pPr>
      <w:r>
        <w:rPr>
          <w:rFonts w:hint="eastAsia" w:ascii="宋体" w:hAnsi="宋体" w:cs="宋体"/>
        </w:rPr>
        <w:br w:type="page"/>
      </w:r>
      <w:r>
        <w:rPr>
          <w:rFonts w:hint="eastAsia" w:ascii="宋体" w:hAnsi="宋体" w:cs="宋体"/>
          <w:b/>
          <w:bCs/>
          <w:sz w:val="32"/>
          <w:szCs w:val="32"/>
        </w:rPr>
        <w:t>六、商务应答表</w:t>
      </w:r>
    </w:p>
    <w:p>
      <w:pPr>
        <w:pStyle w:val="2"/>
        <w:spacing w:before="0" w:after="0" w:line="360" w:lineRule="auto"/>
        <w:outlineLvl w:val="9"/>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48"/>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pacing w:line="360" w:lineRule="auto"/>
              <w:rPr>
                <w:rFonts w:ascii="宋体" w:hAnsi="宋体" w:cs="宋体"/>
                <w:sz w:val="28"/>
              </w:rPr>
            </w:pPr>
            <w:r>
              <w:rPr>
                <w:rFonts w:hint="eastAsia" w:ascii="宋体" w:hAnsi="宋体" w:cs="宋体"/>
                <w:sz w:val="28"/>
              </w:rPr>
              <w:t>序号</w:t>
            </w:r>
          </w:p>
        </w:tc>
        <w:tc>
          <w:tcPr>
            <w:tcW w:w="294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采购文件要求</w:t>
            </w:r>
          </w:p>
        </w:tc>
        <w:tc>
          <w:tcPr>
            <w:tcW w:w="3420"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rFonts w:ascii="宋体" w:hAnsi="宋体" w:cs="宋体"/>
                <w:sz w:val="32"/>
              </w:rPr>
            </w:pPr>
            <w:r>
              <w:rPr>
                <w:rFonts w:hint="eastAsia" w:ascii="宋体" w:hAnsi="宋体" w:cs="宋体"/>
                <w:sz w:val="32"/>
              </w:rPr>
              <w:t>1</w:t>
            </w:r>
          </w:p>
        </w:tc>
        <w:tc>
          <w:tcPr>
            <w:tcW w:w="2948" w:type="dxa"/>
          </w:tcPr>
          <w:p>
            <w:pPr>
              <w:spacing w:line="360" w:lineRule="auto"/>
              <w:rPr>
                <w:rFonts w:ascii="宋体" w:hAnsi="宋体" w:cs="宋体"/>
                <w:sz w:val="32"/>
              </w:rPr>
            </w:pPr>
          </w:p>
        </w:tc>
        <w:tc>
          <w:tcPr>
            <w:tcW w:w="3420" w:type="dxa"/>
          </w:tcPr>
          <w:p>
            <w:pPr>
              <w:spacing w:line="360" w:lineRule="auto"/>
              <w:ind w:left="422" w:hanging="422" w:hangingChars="132"/>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rFonts w:ascii="宋体" w:hAnsi="宋体" w:cs="宋体"/>
                <w:sz w:val="32"/>
              </w:rPr>
            </w:pPr>
            <w:r>
              <w:rPr>
                <w:rFonts w:hint="eastAsia" w:ascii="宋体" w:hAnsi="宋体" w:cs="宋体"/>
                <w:sz w:val="32"/>
              </w:rPr>
              <w:t>2</w:t>
            </w:r>
          </w:p>
        </w:tc>
        <w:tc>
          <w:tcPr>
            <w:tcW w:w="2948" w:type="dxa"/>
          </w:tcPr>
          <w:p>
            <w:pPr>
              <w:spacing w:line="360" w:lineRule="auto"/>
              <w:rPr>
                <w:rFonts w:ascii="宋体" w:hAnsi="宋体" w:cs="宋体"/>
                <w:sz w:val="32"/>
              </w:rPr>
            </w:pPr>
          </w:p>
        </w:tc>
        <w:tc>
          <w:tcPr>
            <w:tcW w:w="3420" w:type="dxa"/>
          </w:tcPr>
          <w:p>
            <w:pPr>
              <w:spacing w:line="360" w:lineRule="auto"/>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rFonts w:ascii="宋体" w:hAnsi="宋体" w:cs="宋体"/>
                <w:sz w:val="32"/>
              </w:rPr>
            </w:pPr>
            <w:r>
              <w:rPr>
                <w:rFonts w:hint="eastAsia" w:ascii="宋体" w:hAnsi="宋体" w:cs="宋体"/>
                <w:sz w:val="32"/>
              </w:rPr>
              <w:t>3</w:t>
            </w:r>
          </w:p>
        </w:tc>
        <w:tc>
          <w:tcPr>
            <w:tcW w:w="2948" w:type="dxa"/>
          </w:tcPr>
          <w:p>
            <w:pPr>
              <w:spacing w:line="360" w:lineRule="auto"/>
              <w:rPr>
                <w:rFonts w:ascii="宋体" w:hAnsi="宋体" w:cs="宋体"/>
                <w:b/>
                <w:bCs/>
                <w:sz w:val="24"/>
              </w:rPr>
            </w:pPr>
          </w:p>
        </w:tc>
        <w:tc>
          <w:tcPr>
            <w:tcW w:w="3420" w:type="dxa"/>
          </w:tcPr>
          <w:p>
            <w:pPr>
              <w:spacing w:line="360" w:lineRule="auto"/>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pacing w:line="360" w:lineRule="auto"/>
              <w:jc w:val="center"/>
              <w:rPr>
                <w:rFonts w:ascii="宋体" w:hAnsi="宋体" w:cs="宋体"/>
                <w:sz w:val="32"/>
              </w:rPr>
            </w:pPr>
            <w:r>
              <w:rPr>
                <w:rFonts w:hint="eastAsia" w:ascii="宋体" w:hAnsi="宋体" w:cs="宋体"/>
                <w:sz w:val="32"/>
              </w:rPr>
              <w:t>……</w:t>
            </w:r>
          </w:p>
        </w:tc>
        <w:tc>
          <w:tcPr>
            <w:tcW w:w="2948" w:type="dxa"/>
          </w:tcPr>
          <w:p>
            <w:pPr>
              <w:spacing w:line="360" w:lineRule="auto"/>
              <w:rPr>
                <w:rFonts w:ascii="宋体" w:hAnsi="宋体" w:cs="宋体"/>
                <w:b/>
                <w:bCs/>
                <w:sz w:val="24"/>
              </w:rPr>
            </w:pPr>
            <w:r>
              <w:rPr>
                <w:rFonts w:hint="eastAsia" w:ascii="宋体" w:hAnsi="宋体" w:cs="宋体"/>
                <w:b/>
                <w:bCs/>
                <w:sz w:val="24"/>
              </w:rPr>
              <w:t>……</w:t>
            </w:r>
          </w:p>
        </w:tc>
        <w:tc>
          <w:tcPr>
            <w:tcW w:w="3420" w:type="dxa"/>
          </w:tcPr>
          <w:p>
            <w:pPr>
              <w:spacing w:line="360" w:lineRule="auto"/>
              <w:jc w:val="center"/>
              <w:rPr>
                <w:rFonts w:ascii="宋体" w:hAnsi="宋体" w:cs="宋体"/>
                <w:sz w:val="32"/>
              </w:rPr>
            </w:pPr>
          </w:p>
        </w:tc>
      </w:tr>
    </w:tbl>
    <w:p>
      <w:pPr>
        <w:spacing w:line="360" w:lineRule="auto"/>
        <w:ind w:left="482" w:hanging="482" w:hangingChars="200"/>
        <w:rPr>
          <w:rFonts w:ascii="宋体" w:hAnsi="宋体" w:cs="宋体"/>
          <w:b/>
          <w:sz w:val="24"/>
        </w:rPr>
      </w:pPr>
    </w:p>
    <w:p>
      <w:pPr>
        <w:widowControl/>
        <w:spacing w:line="360" w:lineRule="auto"/>
        <w:ind w:firstLine="472" w:firstLineChars="196"/>
        <w:jc w:val="left"/>
        <w:rPr>
          <w:rFonts w:ascii="宋体" w:hAnsi="宋体" w:cs="宋体"/>
          <w:b/>
          <w:sz w:val="24"/>
        </w:rPr>
      </w:pPr>
      <w:r>
        <w:rPr>
          <w:rFonts w:hint="eastAsia" w:ascii="宋体" w:hAnsi="宋体" w:cs="宋体"/>
          <w:b/>
          <w:sz w:val="24"/>
        </w:rPr>
        <w:t>注：1.供应商必须把磋商文件第五章全部商务要求列入此表。</w:t>
      </w:r>
    </w:p>
    <w:p>
      <w:pPr>
        <w:widowControl/>
        <w:spacing w:line="360" w:lineRule="auto"/>
        <w:ind w:firstLine="472" w:firstLineChars="196"/>
        <w:jc w:val="left"/>
        <w:rPr>
          <w:rFonts w:ascii="宋体" w:hAnsi="宋体" w:cs="宋体"/>
          <w:b/>
          <w:sz w:val="24"/>
        </w:rPr>
      </w:pPr>
      <w:r>
        <w:rPr>
          <w:rFonts w:hint="eastAsia" w:ascii="宋体" w:hAnsi="宋体" w:cs="宋体"/>
          <w:b/>
          <w:sz w:val="24"/>
        </w:rPr>
        <w:t>2.按照磋商项目商务要求的顺序逐条对应填写。</w:t>
      </w:r>
    </w:p>
    <w:p>
      <w:pPr>
        <w:widowControl/>
        <w:spacing w:line="360" w:lineRule="auto"/>
        <w:ind w:firstLine="472" w:firstLineChars="196"/>
        <w:jc w:val="left"/>
        <w:rPr>
          <w:rFonts w:ascii="宋体" w:hAnsi="宋体" w:cs="宋体"/>
          <w:b/>
          <w:sz w:val="24"/>
        </w:rPr>
      </w:pPr>
      <w:r>
        <w:rPr>
          <w:rFonts w:hint="eastAsia" w:ascii="宋体" w:hAnsi="宋体" w:cs="宋体"/>
          <w:b/>
          <w:sz w:val="24"/>
        </w:rPr>
        <w:t>3.供应商必须据实填写，不得虚假填写，否则将取消其报价或成交资格并按有关规定进行处罚。</w:t>
      </w:r>
    </w:p>
    <w:p>
      <w:pPr>
        <w:spacing w:line="360" w:lineRule="auto"/>
        <w:ind w:left="480" w:hanging="480" w:hangingChars="200"/>
        <w:rPr>
          <w:rFonts w:ascii="宋体" w:hAnsi="宋体" w:cs="宋体"/>
          <w:sz w:val="24"/>
        </w:rPr>
      </w:pPr>
    </w:p>
    <w:p>
      <w:pPr>
        <w:spacing w:line="360" w:lineRule="auto"/>
        <w:ind w:left="482" w:hanging="482" w:hangingChars="200"/>
        <w:rPr>
          <w:rFonts w:ascii="宋体" w:hAnsi="宋体" w:cs="宋体"/>
          <w:b/>
          <w:sz w:val="24"/>
        </w:rPr>
      </w:pPr>
    </w:p>
    <w:p>
      <w:pPr>
        <w:spacing w:line="360" w:lineRule="auto"/>
        <w:ind w:left="482" w:hanging="482" w:hangingChars="200"/>
        <w:rPr>
          <w:rFonts w:ascii="宋体" w:hAnsi="宋体" w:cs="宋体"/>
          <w:b/>
          <w:sz w:val="24"/>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jc w:val="center"/>
        <w:outlineLvl w:val="1"/>
        <w:rPr>
          <w:rFonts w:ascii="宋体" w:hAnsi="宋体" w:cs="宋体"/>
          <w:b/>
          <w:sz w:val="32"/>
          <w:szCs w:val="32"/>
        </w:rPr>
      </w:pPr>
      <w:r>
        <w:rPr>
          <w:rFonts w:hint="eastAsia" w:ascii="宋体" w:hAnsi="宋体" w:cs="宋体"/>
          <w:color w:val="000000"/>
          <w:spacing w:val="8"/>
        </w:rPr>
        <w:br w:type="page"/>
      </w:r>
      <w:r>
        <w:rPr>
          <w:rFonts w:hint="eastAsia" w:ascii="宋体" w:hAnsi="宋体" w:cs="宋体"/>
          <w:b/>
          <w:sz w:val="32"/>
          <w:szCs w:val="32"/>
        </w:rPr>
        <w:t>七、供应商本项目管理、技术、服务人员情况表</w:t>
      </w:r>
    </w:p>
    <w:p>
      <w:pPr>
        <w:spacing w:line="360" w:lineRule="auto"/>
        <w:rPr>
          <w:rFonts w:ascii="宋体" w:hAnsi="宋体" w:cs="宋体"/>
          <w:sz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cs="宋体"/>
                <w:sz w:val="24"/>
              </w:rPr>
            </w:pPr>
            <w:r>
              <w:rPr>
                <w:rFonts w:hint="eastAsia" w:ascii="宋体" w:hAnsi="宋体" w:cs="宋体"/>
                <w:sz w:val="24"/>
              </w:rPr>
              <w:t>类别</w:t>
            </w:r>
          </w:p>
        </w:tc>
        <w:tc>
          <w:tcPr>
            <w:tcW w:w="947" w:type="dxa"/>
            <w:vMerge w:val="restart"/>
            <w:vAlign w:val="center"/>
          </w:tcPr>
          <w:p>
            <w:pPr>
              <w:spacing w:line="360" w:lineRule="auto"/>
              <w:jc w:val="center"/>
              <w:rPr>
                <w:rFonts w:ascii="宋体" w:hAnsi="宋体" w:cs="宋体"/>
                <w:sz w:val="24"/>
              </w:rPr>
            </w:pPr>
            <w:r>
              <w:rPr>
                <w:rFonts w:hint="eastAsia" w:ascii="宋体" w:hAnsi="宋体" w:cs="宋体"/>
                <w:sz w:val="24"/>
              </w:rPr>
              <w:t>职务</w:t>
            </w:r>
          </w:p>
        </w:tc>
        <w:tc>
          <w:tcPr>
            <w:tcW w:w="947" w:type="dxa"/>
            <w:vMerge w:val="restart"/>
            <w:vAlign w:val="center"/>
          </w:tcPr>
          <w:p>
            <w:pPr>
              <w:spacing w:line="360" w:lineRule="auto"/>
              <w:jc w:val="center"/>
              <w:rPr>
                <w:rFonts w:ascii="宋体" w:hAnsi="宋体" w:cs="宋体"/>
                <w:sz w:val="24"/>
              </w:rPr>
            </w:pPr>
            <w:r>
              <w:rPr>
                <w:rFonts w:hint="eastAsia" w:ascii="宋体" w:hAnsi="宋体" w:cs="宋体"/>
                <w:sz w:val="24"/>
              </w:rPr>
              <w:t>姓名</w:t>
            </w:r>
          </w:p>
        </w:tc>
        <w:tc>
          <w:tcPr>
            <w:tcW w:w="947" w:type="dxa"/>
            <w:vMerge w:val="restart"/>
            <w:vAlign w:val="center"/>
          </w:tcPr>
          <w:p>
            <w:pPr>
              <w:spacing w:line="360" w:lineRule="auto"/>
              <w:jc w:val="center"/>
              <w:rPr>
                <w:rFonts w:ascii="宋体" w:hAnsi="宋体" w:cs="宋体"/>
                <w:sz w:val="24"/>
              </w:rPr>
            </w:pPr>
            <w:r>
              <w:rPr>
                <w:rFonts w:hint="eastAsia" w:ascii="宋体" w:hAnsi="宋体" w:cs="宋体"/>
                <w:sz w:val="24"/>
              </w:rPr>
              <w:t>职称</w:t>
            </w:r>
          </w:p>
        </w:tc>
        <w:tc>
          <w:tcPr>
            <w:tcW w:w="947" w:type="dxa"/>
            <w:vMerge w:val="restart"/>
            <w:vAlign w:val="center"/>
          </w:tcPr>
          <w:p>
            <w:pPr>
              <w:spacing w:line="360" w:lineRule="auto"/>
              <w:jc w:val="center"/>
              <w:rPr>
                <w:rFonts w:ascii="宋体" w:hAnsi="宋体" w:cs="宋体"/>
                <w:sz w:val="24"/>
              </w:rPr>
            </w:pPr>
            <w:r>
              <w:rPr>
                <w:rFonts w:hint="eastAsia" w:ascii="宋体" w:hAnsi="宋体" w:cs="宋体"/>
                <w:sz w:val="24"/>
              </w:rPr>
              <w:t>常住地</w:t>
            </w:r>
          </w:p>
        </w:tc>
        <w:tc>
          <w:tcPr>
            <w:tcW w:w="3788" w:type="dxa"/>
            <w:gridSpan w:val="4"/>
            <w:vAlign w:val="center"/>
          </w:tcPr>
          <w:p>
            <w:pPr>
              <w:spacing w:line="360" w:lineRule="auto"/>
              <w:jc w:val="center"/>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cs="宋体"/>
                <w:sz w:val="24"/>
              </w:rPr>
            </w:pPr>
          </w:p>
        </w:tc>
        <w:tc>
          <w:tcPr>
            <w:tcW w:w="947" w:type="dxa"/>
            <w:vMerge w:val="continue"/>
            <w:vAlign w:val="center"/>
          </w:tcPr>
          <w:p>
            <w:pPr>
              <w:spacing w:line="360" w:lineRule="auto"/>
              <w:jc w:val="center"/>
              <w:rPr>
                <w:rFonts w:ascii="宋体" w:hAnsi="宋体" w:cs="宋体"/>
                <w:sz w:val="24"/>
              </w:rPr>
            </w:pPr>
          </w:p>
        </w:tc>
        <w:tc>
          <w:tcPr>
            <w:tcW w:w="947" w:type="dxa"/>
            <w:vMerge w:val="continue"/>
            <w:vAlign w:val="center"/>
          </w:tcPr>
          <w:p>
            <w:pPr>
              <w:spacing w:line="360" w:lineRule="auto"/>
              <w:jc w:val="center"/>
              <w:rPr>
                <w:rFonts w:ascii="宋体" w:hAnsi="宋体" w:cs="宋体"/>
                <w:sz w:val="24"/>
              </w:rPr>
            </w:pPr>
          </w:p>
        </w:tc>
        <w:tc>
          <w:tcPr>
            <w:tcW w:w="947" w:type="dxa"/>
            <w:vMerge w:val="continue"/>
            <w:vAlign w:val="center"/>
          </w:tcPr>
          <w:p>
            <w:pPr>
              <w:spacing w:line="360" w:lineRule="auto"/>
              <w:jc w:val="center"/>
              <w:rPr>
                <w:rFonts w:ascii="宋体" w:hAnsi="宋体" w:cs="宋体"/>
                <w:sz w:val="24"/>
              </w:rPr>
            </w:pPr>
          </w:p>
        </w:tc>
        <w:tc>
          <w:tcPr>
            <w:tcW w:w="947" w:type="dxa"/>
            <w:vMerge w:val="continue"/>
            <w:vAlign w:val="center"/>
          </w:tcPr>
          <w:p>
            <w:pPr>
              <w:spacing w:line="360" w:lineRule="auto"/>
              <w:jc w:val="center"/>
              <w:rPr>
                <w:rFonts w:ascii="宋体" w:hAnsi="宋体" w:cs="宋体"/>
                <w:sz w:val="24"/>
              </w:rPr>
            </w:pPr>
          </w:p>
        </w:tc>
        <w:tc>
          <w:tcPr>
            <w:tcW w:w="947" w:type="dxa"/>
            <w:vAlign w:val="center"/>
          </w:tcPr>
          <w:p>
            <w:pPr>
              <w:spacing w:line="360" w:lineRule="auto"/>
              <w:jc w:val="center"/>
              <w:rPr>
                <w:rFonts w:ascii="宋体" w:hAnsi="宋体" w:cs="宋体"/>
                <w:sz w:val="24"/>
              </w:rPr>
            </w:pPr>
            <w:r>
              <w:rPr>
                <w:rFonts w:hint="eastAsia" w:ascii="宋体" w:hAnsi="宋体" w:cs="宋体"/>
                <w:sz w:val="24"/>
              </w:rPr>
              <w:t>证书</w:t>
            </w:r>
          </w:p>
          <w:p>
            <w:pPr>
              <w:spacing w:line="360" w:lineRule="auto"/>
              <w:jc w:val="center"/>
              <w:rPr>
                <w:rFonts w:ascii="宋体" w:hAnsi="宋体" w:cs="宋体"/>
                <w:sz w:val="24"/>
              </w:rPr>
            </w:pPr>
            <w:r>
              <w:rPr>
                <w:rFonts w:hint="eastAsia" w:ascii="宋体" w:hAnsi="宋体" w:cs="宋体"/>
                <w:sz w:val="24"/>
              </w:rPr>
              <w:t>名称</w:t>
            </w:r>
          </w:p>
        </w:tc>
        <w:tc>
          <w:tcPr>
            <w:tcW w:w="947" w:type="dxa"/>
            <w:vAlign w:val="center"/>
          </w:tcPr>
          <w:p>
            <w:pPr>
              <w:spacing w:line="360" w:lineRule="auto"/>
              <w:jc w:val="center"/>
              <w:rPr>
                <w:rFonts w:ascii="宋体" w:hAnsi="宋体" w:cs="宋体"/>
                <w:sz w:val="24"/>
              </w:rPr>
            </w:pPr>
            <w:r>
              <w:rPr>
                <w:rFonts w:hint="eastAsia" w:ascii="宋体" w:hAnsi="宋体" w:cs="宋体"/>
                <w:sz w:val="24"/>
              </w:rPr>
              <w:t>级别</w:t>
            </w:r>
          </w:p>
        </w:tc>
        <w:tc>
          <w:tcPr>
            <w:tcW w:w="947" w:type="dxa"/>
            <w:vAlign w:val="center"/>
          </w:tcPr>
          <w:p>
            <w:pPr>
              <w:spacing w:line="360" w:lineRule="auto"/>
              <w:jc w:val="center"/>
              <w:rPr>
                <w:rFonts w:ascii="宋体" w:hAnsi="宋体" w:cs="宋体"/>
                <w:sz w:val="24"/>
              </w:rPr>
            </w:pPr>
            <w:r>
              <w:rPr>
                <w:rFonts w:hint="eastAsia" w:ascii="宋体" w:hAnsi="宋体" w:cs="宋体"/>
                <w:sz w:val="24"/>
              </w:rPr>
              <w:t>证号</w:t>
            </w:r>
          </w:p>
        </w:tc>
        <w:tc>
          <w:tcPr>
            <w:tcW w:w="947" w:type="dxa"/>
            <w:vAlign w:val="center"/>
          </w:tcPr>
          <w:p>
            <w:pPr>
              <w:spacing w:line="360" w:lineRule="auto"/>
              <w:jc w:val="center"/>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cs="宋体"/>
                <w:sz w:val="24"/>
              </w:rPr>
            </w:pPr>
            <w:r>
              <w:rPr>
                <w:rFonts w:hint="eastAsia" w:ascii="宋体" w:hAnsi="宋体" w:cs="宋体"/>
                <w:sz w:val="24"/>
              </w:rPr>
              <w:t>管理</w:t>
            </w:r>
          </w:p>
          <w:p>
            <w:pPr>
              <w:spacing w:line="360" w:lineRule="auto"/>
              <w:jc w:val="center"/>
              <w:rPr>
                <w:rFonts w:ascii="宋体" w:hAnsi="宋体" w:cs="宋体"/>
                <w:sz w:val="24"/>
              </w:rPr>
            </w:pPr>
            <w:r>
              <w:rPr>
                <w:rFonts w:hint="eastAsia" w:ascii="宋体" w:hAnsi="宋体" w:cs="宋体"/>
                <w:sz w:val="24"/>
              </w:rPr>
              <w:t>人员</w:t>
            </w: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cs="宋体"/>
                <w:sz w:val="24"/>
              </w:rPr>
            </w:pPr>
            <w:r>
              <w:rPr>
                <w:rFonts w:hint="eastAsia" w:ascii="宋体" w:hAnsi="宋体" w:cs="宋体"/>
                <w:sz w:val="24"/>
              </w:rPr>
              <w:t>技术</w:t>
            </w:r>
          </w:p>
          <w:p>
            <w:pPr>
              <w:spacing w:line="360" w:lineRule="auto"/>
              <w:jc w:val="center"/>
              <w:rPr>
                <w:rFonts w:ascii="宋体" w:hAnsi="宋体" w:cs="宋体"/>
                <w:sz w:val="24"/>
              </w:rPr>
            </w:pPr>
            <w:r>
              <w:rPr>
                <w:rFonts w:hint="eastAsia" w:ascii="宋体" w:hAnsi="宋体" w:cs="宋体"/>
                <w:sz w:val="24"/>
              </w:rPr>
              <w:t>人员</w:t>
            </w: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jc w:val="center"/>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cs="宋体"/>
                <w:sz w:val="24"/>
              </w:rPr>
            </w:pPr>
            <w:r>
              <w:rPr>
                <w:rFonts w:hint="eastAsia" w:ascii="宋体" w:hAnsi="宋体" w:cs="宋体"/>
                <w:sz w:val="24"/>
              </w:rPr>
              <w:t>售后服务人员</w:t>
            </w: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c>
          <w:tcPr>
            <w:tcW w:w="947" w:type="dxa"/>
          </w:tcPr>
          <w:p>
            <w:pPr>
              <w:spacing w:line="360" w:lineRule="auto"/>
              <w:rPr>
                <w:rFonts w:ascii="宋体" w:hAnsi="宋体" w:cs="宋体"/>
                <w:sz w:val="24"/>
              </w:rPr>
            </w:pPr>
          </w:p>
        </w:tc>
      </w:tr>
    </w:tbl>
    <w:p>
      <w:pPr>
        <w:pStyle w:val="58"/>
        <w:spacing w:line="360" w:lineRule="auto"/>
        <w:ind w:firstLine="482"/>
        <w:rPr>
          <w:rFonts w:ascii="宋体" w:hAnsi="宋体" w:cs="宋体"/>
          <w:bCs/>
          <w:sz w:val="24"/>
        </w:rPr>
      </w:pPr>
    </w:p>
    <w:p>
      <w:pPr>
        <w:pStyle w:val="58"/>
        <w:spacing w:line="360" w:lineRule="auto"/>
        <w:ind w:firstLine="482"/>
        <w:rPr>
          <w:rFonts w:ascii="宋体" w:hAnsi="宋体" w:cs="宋体"/>
          <w:bCs/>
          <w:sz w:val="24"/>
        </w:rPr>
      </w:pPr>
      <w:r>
        <w:rPr>
          <w:rFonts w:hint="eastAsia" w:ascii="宋体" w:hAnsi="宋体" w:cs="宋体"/>
          <w:bCs/>
          <w:sz w:val="24"/>
        </w:rPr>
        <w:t>注：供应商根据自身实际情况填写，对不涉及的内容可填写“/”。</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jc w:val="center"/>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bCs/>
          <w:sz w:val="30"/>
          <w:szCs w:val="30"/>
        </w:rPr>
        <w:t>项目总负责人情况表</w:t>
      </w:r>
    </w:p>
    <w:tbl>
      <w:tblPr>
        <w:tblStyle w:val="3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3"/>
        <w:gridCol w:w="1444"/>
        <w:gridCol w:w="1106"/>
        <w:gridCol w:w="1446"/>
        <w:gridCol w:w="139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2233" w:type="dxa"/>
            <w:vAlign w:val="center"/>
          </w:tcPr>
          <w:p>
            <w:pPr>
              <w:spacing w:line="360" w:lineRule="auto"/>
              <w:rPr>
                <w:rFonts w:ascii="宋体" w:hAnsi="宋体" w:cs="宋体"/>
                <w:sz w:val="24"/>
              </w:rPr>
            </w:pPr>
            <w:r>
              <w:rPr>
                <w:rFonts w:hint="eastAsia" w:ascii="宋体" w:hAnsi="宋体" w:cs="宋体"/>
                <w:sz w:val="24"/>
              </w:rPr>
              <w:t>姓名</w:t>
            </w:r>
          </w:p>
        </w:tc>
        <w:tc>
          <w:tcPr>
            <w:tcW w:w="1444" w:type="dxa"/>
            <w:vAlign w:val="center"/>
          </w:tcPr>
          <w:p>
            <w:pPr>
              <w:spacing w:line="360" w:lineRule="auto"/>
              <w:rPr>
                <w:rFonts w:ascii="宋体" w:hAnsi="宋体" w:cs="宋体"/>
                <w:sz w:val="24"/>
              </w:rPr>
            </w:pPr>
          </w:p>
        </w:tc>
        <w:tc>
          <w:tcPr>
            <w:tcW w:w="1106" w:type="dxa"/>
            <w:vAlign w:val="center"/>
          </w:tcPr>
          <w:p>
            <w:pPr>
              <w:spacing w:line="360" w:lineRule="auto"/>
              <w:rPr>
                <w:rFonts w:ascii="宋体" w:hAnsi="宋体" w:cs="宋体"/>
                <w:sz w:val="24"/>
              </w:rPr>
            </w:pPr>
            <w:r>
              <w:rPr>
                <w:rFonts w:hint="eastAsia" w:ascii="宋体" w:hAnsi="宋体" w:cs="宋体"/>
                <w:sz w:val="24"/>
              </w:rPr>
              <w:t>性别</w:t>
            </w:r>
          </w:p>
        </w:tc>
        <w:tc>
          <w:tcPr>
            <w:tcW w:w="1446" w:type="dxa"/>
            <w:vAlign w:val="center"/>
          </w:tcPr>
          <w:p>
            <w:pPr>
              <w:spacing w:line="360" w:lineRule="auto"/>
              <w:rPr>
                <w:rFonts w:ascii="宋体" w:hAnsi="宋体" w:cs="宋体"/>
                <w:sz w:val="24"/>
              </w:rPr>
            </w:pPr>
          </w:p>
        </w:tc>
        <w:tc>
          <w:tcPr>
            <w:tcW w:w="1392" w:type="dxa"/>
            <w:vAlign w:val="center"/>
          </w:tcPr>
          <w:p>
            <w:pPr>
              <w:spacing w:line="360" w:lineRule="auto"/>
              <w:rPr>
                <w:rFonts w:ascii="宋体" w:hAnsi="宋体" w:cs="宋体"/>
                <w:sz w:val="24"/>
              </w:rPr>
            </w:pPr>
            <w:r>
              <w:rPr>
                <w:rFonts w:hint="eastAsia" w:ascii="宋体" w:hAnsi="宋体" w:cs="宋体"/>
                <w:sz w:val="24"/>
              </w:rPr>
              <w:t>出生日期</w:t>
            </w:r>
          </w:p>
        </w:tc>
        <w:tc>
          <w:tcPr>
            <w:tcW w:w="1701" w:type="dxa"/>
            <w:vAlign w:val="center"/>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233" w:type="dxa"/>
            <w:vAlign w:val="center"/>
          </w:tcPr>
          <w:p>
            <w:pPr>
              <w:spacing w:line="360" w:lineRule="auto"/>
              <w:rPr>
                <w:rFonts w:ascii="宋体" w:hAnsi="宋体" w:cs="宋体"/>
                <w:sz w:val="24"/>
              </w:rPr>
            </w:pPr>
            <w:r>
              <w:rPr>
                <w:rFonts w:hint="eastAsia" w:ascii="宋体" w:hAnsi="宋体" w:cs="宋体"/>
                <w:sz w:val="24"/>
              </w:rPr>
              <w:t>毕业院校专业</w:t>
            </w:r>
          </w:p>
        </w:tc>
        <w:tc>
          <w:tcPr>
            <w:tcW w:w="3996" w:type="dxa"/>
            <w:gridSpan w:val="3"/>
            <w:vAlign w:val="center"/>
          </w:tcPr>
          <w:p>
            <w:pPr>
              <w:spacing w:line="360" w:lineRule="auto"/>
              <w:rPr>
                <w:rFonts w:ascii="宋体" w:hAnsi="宋体" w:cs="宋体"/>
                <w:sz w:val="24"/>
              </w:rPr>
            </w:pPr>
          </w:p>
        </w:tc>
        <w:tc>
          <w:tcPr>
            <w:tcW w:w="1392" w:type="dxa"/>
            <w:vAlign w:val="center"/>
          </w:tcPr>
          <w:p>
            <w:pPr>
              <w:spacing w:line="360" w:lineRule="auto"/>
              <w:rPr>
                <w:rFonts w:ascii="宋体" w:hAnsi="宋体" w:cs="宋体"/>
                <w:sz w:val="24"/>
              </w:rPr>
            </w:pPr>
            <w:r>
              <w:rPr>
                <w:rFonts w:hint="eastAsia" w:ascii="宋体" w:hAnsi="宋体" w:cs="宋体"/>
                <w:sz w:val="24"/>
              </w:rPr>
              <w:t>毕业时间</w:t>
            </w:r>
          </w:p>
        </w:tc>
        <w:tc>
          <w:tcPr>
            <w:tcW w:w="1701" w:type="dxa"/>
            <w:vAlign w:val="center"/>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233" w:type="dxa"/>
            <w:vAlign w:val="center"/>
          </w:tcPr>
          <w:p>
            <w:pPr>
              <w:spacing w:line="360" w:lineRule="auto"/>
              <w:rPr>
                <w:rFonts w:ascii="宋体" w:hAnsi="宋体" w:cs="宋体"/>
                <w:sz w:val="24"/>
              </w:rPr>
            </w:pPr>
            <w:r>
              <w:rPr>
                <w:rFonts w:hint="eastAsia" w:ascii="宋体" w:hAnsi="宋体" w:cs="宋体"/>
                <w:sz w:val="24"/>
              </w:rPr>
              <w:t>执业注册</w:t>
            </w:r>
          </w:p>
        </w:tc>
        <w:tc>
          <w:tcPr>
            <w:tcW w:w="2550" w:type="dxa"/>
            <w:gridSpan w:val="2"/>
            <w:vAlign w:val="center"/>
          </w:tcPr>
          <w:p>
            <w:pPr>
              <w:spacing w:line="360" w:lineRule="auto"/>
              <w:rPr>
                <w:rFonts w:ascii="宋体" w:hAnsi="宋体" w:cs="宋体"/>
                <w:sz w:val="24"/>
              </w:rPr>
            </w:pPr>
          </w:p>
        </w:tc>
        <w:tc>
          <w:tcPr>
            <w:tcW w:w="2838" w:type="dxa"/>
            <w:gridSpan w:val="2"/>
            <w:vAlign w:val="center"/>
          </w:tcPr>
          <w:p>
            <w:pPr>
              <w:spacing w:line="360" w:lineRule="auto"/>
              <w:ind w:firstLine="480" w:firstLineChars="200"/>
              <w:rPr>
                <w:rFonts w:ascii="宋体" w:hAnsi="宋体" w:cs="宋体"/>
                <w:sz w:val="24"/>
              </w:rPr>
            </w:pPr>
            <w:r>
              <w:rPr>
                <w:rFonts w:hint="eastAsia" w:ascii="宋体" w:hAnsi="宋体" w:cs="宋体"/>
                <w:sz w:val="24"/>
              </w:rPr>
              <w:t>职     称</w:t>
            </w:r>
          </w:p>
        </w:tc>
        <w:tc>
          <w:tcPr>
            <w:tcW w:w="1701" w:type="dxa"/>
            <w:vAlign w:val="center"/>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0" w:hRule="atLeast"/>
        </w:trPr>
        <w:tc>
          <w:tcPr>
            <w:tcW w:w="2233" w:type="dxa"/>
            <w:vAlign w:val="center"/>
          </w:tcPr>
          <w:p>
            <w:pPr>
              <w:spacing w:line="360" w:lineRule="auto"/>
              <w:jc w:val="center"/>
              <w:rPr>
                <w:rFonts w:ascii="宋体" w:hAnsi="宋体" w:cs="宋体"/>
                <w:sz w:val="24"/>
              </w:rPr>
            </w:pPr>
            <w:r>
              <w:rPr>
                <w:rFonts w:hint="eastAsia" w:ascii="宋体" w:hAnsi="宋体" w:cs="宋体"/>
                <w:sz w:val="24"/>
              </w:rPr>
              <w:t>完成业绩</w:t>
            </w:r>
          </w:p>
        </w:tc>
        <w:tc>
          <w:tcPr>
            <w:tcW w:w="7089" w:type="dxa"/>
            <w:gridSpan w:val="5"/>
            <w:vAlign w:val="center"/>
          </w:tcPr>
          <w:p>
            <w:pPr>
              <w:spacing w:line="360" w:lineRule="auto"/>
              <w:jc w:val="center"/>
              <w:rPr>
                <w:rFonts w:ascii="宋体" w:hAnsi="宋体" w:cs="宋体"/>
                <w:sz w:val="24"/>
              </w:rPr>
            </w:pPr>
          </w:p>
        </w:tc>
      </w:tr>
    </w:tbl>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jc w:val="center"/>
        <w:outlineLvl w:val="1"/>
        <w:rPr>
          <w:rFonts w:ascii="宋体" w:hAnsi="宋体" w:cs="宋体"/>
          <w:b/>
          <w:sz w:val="32"/>
          <w:szCs w:val="32"/>
        </w:rPr>
      </w:pPr>
      <w:r>
        <w:rPr>
          <w:rFonts w:hint="eastAsia" w:ascii="宋体" w:hAnsi="宋体" w:cs="宋体"/>
          <w:bCs/>
          <w:color w:val="000000"/>
          <w:sz w:val="24"/>
        </w:rPr>
        <w:br w:type="page"/>
      </w:r>
      <w:r>
        <w:rPr>
          <w:rFonts w:hint="eastAsia" w:ascii="宋体" w:hAnsi="宋体" w:cs="宋体"/>
          <w:b/>
          <w:sz w:val="32"/>
          <w:szCs w:val="32"/>
        </w:rPr>
        <w:t>八、关于知识产权的相关承诺</w:t>
      </w:r>
    </w:p>
    <w:p>
      <w:pPr>
        <w:spacing w:line="360" w:lineRule="auto"/>
        <w:rPr>
          <w:rFonts w:ascii="宋体" w:hAnsi="宋体" w:cs="宋体"/>
          <w:sz w:val="24"/>
        </w:rPr>
      </w:pPr>
      <w:r>
        <w:rPr>
          <w:rFonts w:hint="eastAsia" w:ascii="宋体" w:hAnsi="宋体" w:cs="宋体"/>
          <w:sz w:val="24"/>
          <w:u w:val="single"/>
        </w:rPr>
        <w:t>__绵竹市中医医院__</w:t>
      </w:r>
      <w:r>
        <w:rPr>
          <w:rFonts w:hint="eastAsia" w:ascii="宋体" w:hAnsi="宋体" w:cs="宋体"/>
          <w:sz w:val="24"/>
        </w:rPr>
        <w:t>_：</w:t>
      </w:r>
    </w:p>
    <w:p>
      <w:pPr>
        <w:spacing w:line="360" w:lineRule="auto"/>
        <w:rPr>
          <w:rFonts w:ascii="宋体" w:hAnsi="宋体" w:cs="宋体"/>
          <w:sz w:val="28"/>
        </w:rPr>
      </w:pPr>
    </w:p>
    <w:p>
      <w:pPr>
        <w:spacing w:line="360" w:lineRule="auto"/>
        <w:ind w:firstLine="480" w:firstLineChars="200"/>
        <w:rPr>
          <w:rFonts w:ascii="宋体" w:hAnsi="宋体" w:cs="宋体"/>
          <w:sz w:val="24"/>
        </w:rPr>
      </w:pPr>
      <w:r>
        <w:rPr>
          <w:rFonts w:hint="eastAsia" w:ascii="宋体" w:hAnsi="宋体" w:cs="宋体"/>
          <w:sz w:val="24"/>
        </w:rPr>
        <w:t>本单位</w:t>
      </w:r>
      <w:r>
        <w:rPr>
          <w:rFonts w:hint="eastAsia" w:ascii="宋体" w:hAnsi="宋体" w:cs="宋体"/>
          <w:bCs/>
          <w:color w:val="000000"/>
          <w:sz w:val="24"/>
          <w:u w:val="single"/>
        </w:rPr>
        <w:t xml:space="preserve">                   （</w:t>
      </w:r>
      <w:r>
        <w:rPr>
          <w:rFonts w:hint="eastAsia" w:ascii="宋体" w:hAnsi="宋体" w:cs="宋体"/>
          <w:sz w:val="24"/>
        </w:rPr>
        <w:t>供应商</w:t>
      </w:r>
      <w:r>
        <w:rPr>
          <w:rFonts w:hint="eastAsia" w:ascii="宋体" w:hAnsi="宋体" w:cs="宋体"/>
          <w:bCs/>
          <w:color w:val="000000"/>
          <w:sz w:val="24"/>
        </w:rPr>
        <w:t>名称）</w:t>
      </w:r>
      <w:r>
        <w:rPr>
          <w:rFonts w:hint="eastAsia" w:ascii="宋体" w:hAnsi="宋体" w:cs="宋体"/>
          <w:sz w:val="24"/>
        </w:rPr>
        <w:t>作为</w:t>
      </w:r>
      <w:r>
        <w:rPr>
          <w:rFonts w:hint="eastAsia" w:ascii="宋体" w:hAnsi="宋体" w:cs="宋体"/>
          <w:bCs/>
          <w:color w:val="000000"/>
          <w:sz w:val="24"/>
          <w:u w:val="single"/>
        </w:rPr>
        <w:t xml:space="preserve">                （项目名称及采购编号）</w:t>
      </w:r>
      <w:r>
        <w:rPr>
          <w:rFonts w:hint="eastAsia" w:ascii="宋体" w:hAnsi="宋体" w:cs="宋体"/>
          <w:sz w:val="24"/>
        </w:rPr>
        <w:t>的供应商，郑重承诺：</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采购人享有本项目实施过程中产生的知识成果及知识产权。</w:t>
      </w:r>
    </w:p>
    <w:p>
      <w:pPr>
        <w:numPr>
          <w:ilvl w:val="0"/>
          <w:numId w:val="5"/>
        </w:numPr>
        <w:spacing w:line="360" w:lineRule="auto"/>
        <w:ind w:firstLine="480" w:firstLineChars="200"/>
        <w:rPr>
          <w:rFonts w:ascii="宋体" w:hAnsi="宋体" w:cs="宋体"/>
          <w:sz w:val="24"/>
        </w:rPr>
      </w:pPr>
      <w:r>
        <w:rPr>
          <w:rFonts w:hint="eastAsia" w:ascii="宋体" w:hAnsi="宋体" w:cs="宋体"/>
          <w:sz w:val="24"/>
        </w:rPr>
        <w:t>如我方在项目实施过程中采用自有知识成果，我方承诺提供开发接口和开发手册等技术文档，并承诺提供无限期技术支持，采购人享有永久使用权（含采购人委托第三方在该项目后续开发的使用权）。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s="宋体"/>
          <w:sz w:val="24"/>
        </w:rPr>
      </w:pPr>
      <w:r>
        <w:rPr>
          <w:rFonts w:hint="eastAsia" w:ascii="宋体" w:hAnsi="宋体" w:cs="宋体"/>
          <w:sz w:val="24"/>
        </w:rPr>
        <w:t xml:space="preserve">4、如我方在项目实施过程中采用非自有的知识产权，则在响应报价中已包括合法获取该知识产权的相关费用。 </w:t>
      </w:r>
    </w:p>
    <w:p>
      <w:pPr>
        <w:spacing w:line="360" w:lineRule="auto"/>
        <w:ind w:firstLine="420"/>
        <w:rPr>
          <w:rFonts w:ascii="宋体" w:hAnsi="宋体" w:cs="宋体"/>
          <w:sz w:val="24"/>
        </w:rPr>
      </w:pPr>
    </w:p>
    <w:p>
      <w:pPr>
        <w:spacing w:line="360" w:lineRule="auto"/>
        <w:ind w:firstLine="420"/>
        <w:rPr>
          <w:rFonts w:ascii="宋体" w:hAnsi="宋体" w:cs="宋体"/>
          <w:sz w:val="24"/>
        </w:rPr>
      </w:pPr>
    </w:p>
    <w:p>
      <w:pPr>
        <w:spacing w:line="360" w:lineRule="auto"/>
        <w:ind w:firstLine="42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  </w:t>
      </w:r>
    </w:p>
    <w:p>
      <w:pPr>
        <w:keepNext/>
        <w:keepLines/>
        <w:spacing w:line="360" w:lineRule="auto"/>
        <w:jc w:val="center"/>
        <w:rPr>
          <w:rFonts w:ascii="宋体" w:hAnsi="宋体" w:cs="宋体"/>
          <w:b/>
          <w:bCs/>
          <w:sz w:val="24"/>
          <w:szCs w:val="32"/>
        </w:rPr>
      </w:pPr>
      <w:r>
        <w:rPr>
          <w:rFonts w:hint="eastAsia" w:ascii="宋体" w:hAnsi="宋体" w:cs="宋体"/>
          <w:b/>
          <w:bCs/>
          <w:sz w:val="24"/>
          <w:szCs w:val="32"/>
        </w:rPr>
        <w:t>本单位对上述承诺的真实性负责。如有虚假，将依法承担相应责任。</w:t>
      </w:r>
    </w:p>
    <w:p>
      <w:pPr>
        <w:spacing w:line="360" w:lineRule="auto"/>
        <w:ind w:firstLine="420" w:firstLineChars="200"/>
        <w:rPr>
          <w:rFonts w:ascii="宋体" w:hAnsi="宋体" w:cs="宋体"/>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color w:val="000000"/>
          <w:sz w:val="24"/>
          <w:u w:val="single"/>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jc w:val="left"/>
        <w:outlineLvl w:val="1"/>
        <w:rPr>
          <w:rFonts w:ascii="宋体" w:hAnsi="宋体" w:cs="宋体"/>
          <w:b/>
          <w:sz w:val="32"/>
          <w:szCs w:val="32"/>
        </w:rPr>
      </w:pPr>
    </w:p>
    <w:p>
      <w:pPr>
        <w:spacing w:line="360" w:lineRule="auto"/>
        <w:jc w:val="left"/>
        <w:outlineLvl w:val="1"/>
        <w:rPr>
          <w:rFonts w:ascii="宋体" w:hAnsi="宋体" w:cs="宋体"/>
          <w:b/>
          <w:sz w:val="32"/>
          <w:szCs w:val="32"/>
        </w:rPr>
      </w:pPr>
    </w:p>
    <w:p>
      <w:pPr>
        <w:spacing w:line="360" w:lineRule="auto"/>
        <w:jc w:val="left"/>
        <w:outlineLvl w:val="1"/>
        <w:rPr>
          <w:rFonts w:ascii="宋体" w:hAnsi="宋体" w:cs="宋体"/>
          <w:b/>
          <w:sz w:val="32"/>
          <w:szCs w:val="32"/>
        </w:rPr>
      </w:pPr>
    </w:p>
    <w:p>
      <w:pPr>
        <w:widowControl/>
        <w:spacing w:line="360" w:lineRule="auto"/>
        <w:jc w:val="center"/>
        <w:outlineLvl w:val="1"/>
        <w:rPr>
          <w:rFonts w:ascii="宋体" w:hAnsi="宋体" w:cs="宋体"/>
          <w:b/>
          <w:sz w:val="32"/>
          <w:szCs w:val="32"/>
        </w:rPr>
      </w:pPr>
    </w:p>
    <w:p>
      <w:pPr>
        <w:widowControl/>
        <w:spacing w:line="360" w:lineRule="auto"/>
        <w:jc w:val="center"/>
        <w:outlineLvl w:val="1"/>
        <w:rPr>
          <w:rFonts w:ascii="宋体" w:hAnsi="宋体" w:cs="宋体"/>
          <w:b/>
          <w:bCs/>
          <w:sz w:val="32"/>
          <w:szCs w:val="32"/>
        </w:rPr>
      </w:pPr>
      <w:r>
        <w:rPr>
          <w:rFonts w:hint="eastAsia" w:ascii="宋体" w:hAnsi="宋体" w:cs="宋体"/>
          <w:b/>
          <w:sz w:val="32"/>
          <w:szCs w:val="32"/>
        </w:rPr>
        <w:t>九、承诺函（实质性要求）</w:t>
      </w:r>
    </w:p>
    <w:p>
      <w:pPr>
        <w:widowControl/>
        <w:spacing w:line="360" w:lineRule="auto"/>
        <w:jc w:val="left"/>
        <w:rPr>
          <w:rFonts w:ascii="宋体" w:hAnsi="宋体" w:cs="宋体"/>
          <w:sz w:val="24"/>
        </w:rPr>
      </w:pPr>
      <w:r>
        <w:rPr>
          <w:rFonts w:hint="eastAsia" w:ascii="宋体" w:hAnsi="宋体" w:cs="宋体"/>
          <w:bCs/>
          <w:sz w:val="24"/>
          <w:u w:val="single"/>
        </w:rPr>
        <w:t xml:space="preserve">  绵竹市中医医院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sz w:val="24"/>
        </w:rPr>
        <w:t>我单位作为本次采购项目的供应商，根据磋商文件要求，现郑重承诺如下：</w:t>
      </w:r>
    </w:p>
    <w:p>
      <w:pPr>
        <w:spacing w:line="360" w:lineRule="auto"/>
        <w:ind w:firstLine="480" w:firstLineChars="200"/>
        <w:rPr>
          <w:rFonts w:ascii="宋体" w:hAnsi="宋体" w:cs="宋体"/>
          <w:color w:val="000000"/>
          <w:sz w:val="24"/>
        </w:rPr>
      </w:pPr>
      <w:r>
        <w:rPr>
          <w:rFonts w:hint="eastAsia" w:ascii="宋体" w:hAnsi="宋体" w:cs="宋体"/>
          <w:color w:val="000000"/>
          <w:sz w:val="24"/>
        </w:rPr>
        <w:t>一、完全接受和满足本项目磋商文件中第二章规定的实质性要求（</w:t>
      </w:r>
      <w:r>
        <w:rPr>
          <w:rFonts w:hint="eastAsia" w:ascii="宋体" w:hAnsi="宋体" w:cs="宋体"/>
          <w:sz w:val="24"/>
        </w:rPr>
        <w:t>如合格的供应商、磋商费用、充分、公平竞争保障措施、计量单位、报价货币、知识产权、响应文件有效期、合同分包、合同转包等实质性要求</w:t>
      </w:r>
      <w:r>
        <w:rPr>
          <w:rFonts w:hint="eastAsia" w:ascii="宋体" w:hAnsi="宋体" w:cs="宋体"/>
          <w:color w:val="000000"/>
          <w:sz w:val="24"/>
        </w:rPr>
        <w:t>），</w:t>
      </w:r>
      <w:r>
        <w:rPr>
          <w:rFonts w:hint="eastAsia" w:ascii="宋体" w:hAnsi="宋体" w:cs="宋体"/>
          <w:sz w:val="24"/>
        </w:rPr>
        <w:t>并承诺严格按照磋商文件要求履行</w:t>
      </w:r>
      <w:r>
        <w:rPr>
          <w:rFonts w:hint="eastAsia" w:ascii="宋体" w:hAnsi="宋体" w:cs="宋体"/>
          <w:color w:val="000000"/>
          <w:sz w:val="24"/>
        </w:rPr>
        <w:t>。如对磋商文件有异议，已经在递交响应文件截止时间届满前依法进行维权救济，不存在对磋商文件有异议的同时又参加磋商以求侥幸成交或者为实现其他非法目的的行为。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二、在参加本次采购活动中，不存在与单位负责人为同一人或者存在直接控股、管理关系的其他供应商参与同一合同项下的政府采购活动的行为。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三、在参加本次采购活动中，不存在和其他供应商在同一合同项下的采购项目中，同时委托同一个自然人、同一家庭的人员、同一单位的人员作为代理人的行为。</w:t>
      </w:r>
    </w:p>
    <w:p>
      <w:pPr>
        <w:widowControl/>
        <w:spacing w:line="360" w:lineRule="auto"/>
        <w:ind w:firstLine="480" w:firstLineChars="200"/>
        <w:jc w:val="left"/>
        <w:rPr>
          <w:rFonts w:ascii="宋体" w:hAnsi="宋体" w:cs="宋体"/>
          <w:color w:val="000000"/>
          <w:sz w:val="24"/>
        </w:rPr>
      </w:pPr>
      <w:r>
        <w:rPr>
          <w:rFonts w:hint="eastAsia" w:ascii="宋体" w:hAnsi="宋体" w:cs="宋体"/>
          <w:sz w:val="24"/>
        </w:rPr>
        <w:t>四、为采购项目提供整体设计、规范编制或者项目管理、监理、检测等服务的供应商，不得再参加该采购项目的其他采购活动，我单位承诺不属于此类禁止参加本项目的供应商。</w:t>
      </w:r>
    </w:p>
    <w:p>
      <w:pPr>
        <w:spacing w:line="360" w:lineRule="auto"/>
        <w:ind w:firstLine="480" w:firstLineChars="200"/>
        <w:rPr>
          <w:rFonts w:ascii="宋体" w:hAnsi="宋体" w:cs="宋体"/>
          <w:color w:val="000000"/>
          <w:sz w:val="24"/>
        </w:rPr>
      </w:pPr>
      <w:r>
        <w:rPr>
          <w:rFonts w:hint="eastAsia" w:ascii="宋体" w:hAnsi="宋体" w:cs="宋体"/>
          <w:color w:val="000000"/>
          <w:sz w:val="24"/>
        </w:rPr>
        <w:t>五、响应文件中提供的任何资料和技术、服务、商务等响应承诺情况都是真实的、有效的、合法的。</w:t>
      </w:r>
    </w:p>
    <w:p>
      <w:pPr>
        <w:spacing w:line="360" w:lineRule="auto"/>
        <w:ind w:firstLine="480" w:firstLineChars="200"/>
        <w:jc w:val="left"/>
        <w:outlineLvl w:val="1"/>
        <w:rPr>
          <w:rFonts w:ascii="宋体" w:hAnsi="宋体" w:cs="宋体"/>
          <w:sz w:val="24"/>
        </w:rPr>
      </w:pPr>
      <w:r>
        <w:rPr>
          <w:rFonts w:hint="eastAsia" w:ascii="宋体" w:hAnsi="宋体" w:cs="宋体"/>
          <w:sz w:val="24"/>
        </w:rPr>
        <w:t>六、与我单位存在直接控股关系的单位为：XXX；存在管理关系单位为：XXX。（若存在则如实填写，若不存在则填“/”或“无”）</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本单位对上述承诺的内容事项真实性负责。如经</w:t>
      </w:r>
      <w:r>
        <w:rPr>
          <w:rFonts w:hint="eastAsia" w:ascii="宋体" w:hAnsi="宋体" w:cs="宋体"/>
          <w:sz w:val="24"/>
        </w:rPr>
        <w:t>查实上述承诺的内容事项存在虚假，我公司愿意接受以提供虚假材料谋取成交的法</w:t>
      </w:r>
      <w:r>
        <w:rPr>
          <w:rFonts w:hint="eastAsia" w:ascii="宋体" w:hAnsi="宋体" w:cs="宋体"/>
          <w:color w:val="000000"/>
          <w:sz w:val="24"/>
        </w:rPr>
        <w:t>律责任。</w:t>
      </w:r>
    </w:p>
    <w:p>
      <w:pPr>
        <w:spacing w:line="360" w:lineRule="auto"/>
        <w:jc w:val="left"/>
        <w:rPr>
          <w:rFonts w:ascii="宋体" w:hAnsi="宋体" w:cs="宋体"/>
          <w:color w:val="000000"/>
          <w:sz w:val="24"/>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spacing w:line="360" w:lineRule="auto"/>
        <w:ind w:firstLine="643" w:firstLineChars="200"/>
        <w:jc w:val="left"/>
        <w:outlineLvl w:val="1"/>
        <w:rPr>
          <w:rFonts w:ascii="宋体" w:hAnsi="宋体" w:cs="宋体"/>
          <w:b/>
          <w:sz w:val="32"/>
          <w:szCs w:val="32"/>
          <w:highlight w:val="green"/>
        </w:rPr>
      </w:pPr>
      <w:r>
        <w:rPr>
          <w:rFonts w:hint="eastAsia" w:ascii="宋体" w:hAnsi="宋体" w:cs="宋体"/>
          <w:b/>
          <w:sz w:val="32"/>
          <w:szCs w:val="32"/>
        </w:rPr>
        <w:br w:type="page"/>
      </w:r>
      <w:r>
        <w:rPr>
          <w:rFonts w:hint="eastAsia" w:ascii="宋体" w:hAnsi="宋体" w:cs="宋体"/>
          <w:b/>
          <w:sz w:val="32"/>
          <w:szCs w:val="32"/>
        </w:rPr>
        <w:t>十、中小企业声明函/监狱企业相关证明材料/残疾人福利性单位声明函</w:t>
      </w:r>
    </w:p>
    <w:p>
      <w:pPr>
        <w:pStyle w:val="58"/>
        <w:spacing w:line="360" w:lineRule="auto"/>
        <w:ind w:firstLine="0" w:firstLineChars="0"/>
        <w:jc w:val="center"/>
        <w:rPr>
          <w:rFonts w:ascii="宋体" w:hAnsi="宋体" w:cs="宋体"/>
          <w:sz w:val="32"/>
          <w:szCs w:val="32"/>
        </w:rPr>
      </w:pPr>
      <w:r>
        <w:rPr>
          <w:rFonts w:hint="eastAsia" w:ascii="宋体" w:hAnsi="宋体" w:cs="宋体"/>
          <w:sz w:val="32"/>
          <w:szCs w:val="32"/>
        </w:rPr>
        <w:t>10-1中小企业声明函（服务类）（适用于中小企业）</w:t>
      </w:r>
    </w:p>
    <w:p>
      <w:pPr>
        <w:spacing w:line="360" w:lineRule="auto"/>
        <w:ind w:firstLine="480" w:firstLineChars="200"/>
        <w:rPr>
          <w:rFonts w:ascii="宋体" w:hAnsi="宋体" w:cs="宋体"/>
          <w:sz w:val="24"/>
        </w:rPr>
      </w:pPr>
      <w:r>
        <w:rPr>
          <w:rFonts w:hint="eastAsia" w:ascii="宋体" w:hAnsi="宋体" w:cs="宋体"/>
          <w:bCs/>
          <w:sz w:val="24"/>
        </w:rPr>
        <w:t>本公司</w:t>
      </w:r>
      <w:r>
        <w:rPr>
          <w:rFonts w:hint="eastAsia" w:ascii="宋体" w:hAnsi="宋体" w:cs="宋体"/>
          <w:sz w:val="24"/>
        </w:rPr>
        <w:t>郑重声明，根据《政府采购促进中小企业发展管理办法》（财库﹝2020﹞46 号）的规定，</w:t>
      </w:r>
      <w:r>
        <w:rPr>
          <w:rFonts w:hint="eastAsia" w:ascii="宋体" w:hAnsi="宋体" w:cs="宋体"/>
          <w:bCs/>
          <w:sz w:val="24"/>
        </w:rPr>
        <w:t>本公司</w:t>
      </w:r>
      <w:r>
        <w:rPr>
          <w:rFonts w:hint="eastAsia" w:ascii="宋体" w:hAnsi="宋体" w:cs="宋体"/>
          <w:sz w:val="24"/>
        </w:rPr>
        <w:t>参加</w:t>
      </w:r>
      <w:r>
        <w:rPr>
          <w:rFonts w:hint="eastAsia" w:ascii="宋体" w:hAnsi="宋体" w:cs="宋体"/>
          <w:sz w:val="24"/>
          <w:u w:val="single"/>
        </w:rPr>
        <w:t xml:space="preserve">（单位名称）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采购活动。相关企业的具体情况如下：</w:t>
      </w:r>
    </w:p>
    <w:p>
      <w:pPr>
        <w:numPr>
          <w:ilvl w:val="0"/>
          <w:numId w:val="6"/>
        </w:numPr>
        <w:spacing w:line="360" w:lineRule="auto"/>
        <w:ind w:firstLine="480" w:firstLineChars="200"/>
        <w:rPr>
          <w:rFonts w:ascii="宋体" w:hAnsi="宋体" w:cs="宋体"/>
          <w:sz w:val="24"/>
        </w:rPr>
      </w:pP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 xml:space="preserve">；  </w:t>
      </w:r>
    </w:p>
    <w:p>
      <w:pPr>
        <w:numPr>
          <w:ilvl w:val="0"/>
          <w:numId w:val="6"/>
        </w:numPr>
        <w:spacing w:line="360" w:lineRule="auto"/>
        <w:ind w:firstLine="480" w:firstLineChars="200"/>
        <w:rPr>
          <w:rFonts w:ascii="宋体" w:hAnsi="宋体" w:cs="宋体"/>
          <w:sz w:val="24"/>
        </w:rPr>
      </w:pP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rPr>
          <w:rFonts w:ascii="宋体" w:hAnsi="宋体" w:cs="宋体"/>
          <w:kern w:val="0"/>
          <w:sz w:val="24"/>
        </w:rPr>
      </w:pPr>
      <w:r>
        <w:rPr>
          <w:rFonts w:hint="eastAsia" w:ascii="宋体" w:hAnsi="宋体" w:cs="宋体"/>
          <w:sz w:val="24"/>
        </w:rPr>
        <w:t xml:space="preserve">本企业对上述声明内容的真实性负责。如有虚假，将依法承担相应责任。 </w:t>
      </w:r>
      <w:r>
        <w:rPr>
          <w:rFonts w:hint="eastAsia" w:ascii="宋体" w:hAnsi="宋体" w:cs="宋体"/>
          <w:kern w:val="0"/>
          <w:sz w:val="24"/>
        </w:rPr>
        <w:t> </w:t>
      </w:r>
    </w:p>
    <w:p>
      <w:pPr>
        <w:widowControl/>
        <w:spacing w:line="360" w:lineRule="auto"/>
        <w:ind w:firstLine="470" w:firstLineChars="196"/>
        <w:jc w:val="left"/>
        <w:rPr>
          <w:rFonts w:ascii="宋体" w:hAnsi="宋体" w:cs="宋体"/>
          <w:sz w:val="24"/>
        </w:rPr>
      </w:pPr>
      <w:r>
        <w:rPr>
          <w:rFonts w:hint="eastAsia" w:ascii="宋体" w:hAnsi="宋体" w:cs="宋体"/>
          <w:sz w:val="24"/>
        </w:rPr>
        <w:t>供应商名称：</w:t>
      </w:r>
      <w:r>
        <w:rPr>
          <w:rFonts w:hint="eastAsia" w:ascii="宋体" w:hAnsi="宋体" w:cs="宋体"/>
          <w:bCs/>
          <w:sz w:val="24"/>
          <w:u w:val="single"/>
        </w:rPr>
        <w:t xml:space="preserve">                        </w:t>
      </w:r>
      <w:r>
        <w:rPr>
          <w:rFonts w:hint="eastAsia" w:ascii="宋体" w:hAnsi="宋体" w:cs="宋体"/>
          <w:sz w:val="24"/>
        </w:rPr>
        <w:t>（盖单位公章）</w:t>
      </w:r>
    </w:p>
    <w:p>
      <w:pPr>
        <w:widowControl/>
        <w:spacing w:line="360" w:lineRule="auto"/>
        <w:ind w:firstLine="470" w:firstLineChars="196"/>
        <w:jc w:val="left"/>
        <w:rPr>
          <w:rFonts w:ascii="宋体" w:hAnsi="宋体" w:cs="宋体"/>
          <w:sz w:val="24"/>
        </w:rPr>
      </w:pPr>
      <w:r>
        <w:rPr>
          <w:rFonts w:hint="eastAsia" w:ascii="宋体" w:hAnsi="宋体" w:cs="宋体"/>
          <w:sz w:val="24"/>
        </w:rPr>
        <w:t>法定代表人（负责人）或授权代表（签字或加盖个人名章）：</w:t>
      </w:r>
      <w:r>
        <w:rPr>
          <w:rFonts w:hint="eastAsia" w:ascii="宋体" w:hAnsi="宋体" w:cs="宋体"/>
          <w:bCs/>
          <w:sz w:val="24"/>
          <w:u w:val="single"/>
        </w:rPr>
        <w:t xml:space="preserve">       </w:t>
      </w:r>
    </w:p>
    <w:p>
      <w:pPr>
        <w:widowControl/>
        <w:spacing w:line="360" w:lineRule="auto"/>
        <w:ind w:firstLine="470" w:firstLineChars="196"/>
        <w:jc w:val="left"/>
        <w:rPr>
          <w:rFonts w:ascii="宋体" w:hAnsi="宋体" w:cs="宋体"/>
          <w:sz w:val="24"/>
        </w:rPr>
      </w:pPr>
      <w:r>
        <w:rPr>
          <w:rFonts w:hint="eastAsia" w:ascii="宋体" w:hAnsi="宋体" w:cs="宋体"/>
          <w:sz w:val="24"/>
        </w:rPr>
        <w:t>日    期：</w:t>
      </w:r>
      <w:r>
        <w:rPr>
          <w:rFonts w:hint="eastAsia" w:ascii="宋体" w:hAnsi="宋体" w:cs="宋体"/>
          <w:bCs/>
          <w:sz w:val="24"/>
          <w:u w:val="single"/>
        </w:rPr>
        <w:t xml:space="preserve">           年           月            日</w:t>
      </w:r>
    </w:p>
    <w:p>
      <w:pPr>
        <w:widowControl/>
        <w:spacing w:line="360" w:lineRule="auto"/>
        <w:jc w:val="left"/>
        <w:rPr>
          <w:rFonts w:ascii="宋体" w:hAnsi="宋体" w:cs="宋体"/>
          <w:b/>
          <w:sz w:val="24"/>
        </w:rPr>
      </w:pPr>
    </w:p>
    <w:p>
      <w:pPr>
        <w:pStyle w:val="58"/>
        <w:spacing w:line="360" w:lineRule="auto"/>
        <w:ind w:firstLine="482"/>
        <w:rPr>
          <w:rFonts w:ascii="宋体" w:hAnsi="宋体" w:cs="宋体"/>
          <w:b w:val="0"/>
          <w:sz w:val="24"/>
        </w:rPr>
      </w:pPr>
      <w:r>
        <w:rPr>
          <w:rFonts w:hint="eastAsia" w:ascii="宋体" w:hAnsi="宋体" w:cs="宋体"/>
          <w:bCs/>
          <w:sz w:val="24"/>
        </w:rPr>
        <w:t>注</w:t>
      </w:r>
      <w:r>
        <w:rPr>
          <w:rFonts w:hint="eastAsia" w:ascii="宋体" w:hAnsi="宋体" w:cs="宋体"/>
          <w:b w:val="0"/>
          <w:sz w:val="24"/>
        </w:rPr>
        <w:t>：</w:t>
      </w:r>
      <w:r>
        <w:rPr>
          <w:rFonts w:hint="eastAsia" w:ascii="宋体" w:hAnsi="宋体" w:cs="宋体"/>
          <w:sz w:val="24"/>
        </w:rPr>
        <w:t>1、从业人员、营业收入、资产总额填报上一年度数据，无上一年度数据的新成立企业可不填报。</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2、本项目标的名称、所属行业详见第二章供应商须知附表。</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3、如未提供中小企业声明函的，则其评审中的小型、微型企业不能享受磋商文件规定的价格扣除，但不影响响应文件的有效性。</w:t>
      </w:r>
    </w:p>
    <w:p>
      <w:pPr>
        <w:pStyle w:val="58"/>
        <w:spacing w:line="360" w:lineRule="auto"/>
        <w:ind w:firstLine="0" w:firstLineChars="0"/>
        <w:rPr>
          <w:rFonts w:ascii="宋体" w:hAnsi="宋体" w:cs="宋体"/>
          <w:sz w:val="24"/>
        </w:rPr>
      </w:pPr>
      <w:r>
        <w:rPr>
          <w:rFonts w:hint="eastAsia" w:ascii="宋体" w:hAnsi="宋体" w:cs="宋体"/>
          <w:sz w:val="24"/>
        </w:rPr>
        <w:t>4、供应商参加政府采购活动时，应当对其出具的《中小企业声明函》真实性负责,提供虚假中小企业声明函的，以提供虚假材料谋取成交处理（请供应商慎重填写）。</w:t>
      </w:r>
    </w:p>
    <w:p>
      <w:pPr>
        <w:pStyle w:val="58"/>
        <w:spacing w:line="360" w:lineRule="auto"/>
        <w:ind w:firstLine="482"/>
        <w:rPr>
          <w:rFonts w:ascii="宋体" w:hAnsi="宋体" w:cs="宋体"/>
          <w:sz w:val="24"/>
        </w:rPr>
      </w:pPr>
      <w:r>
        <w:rPr>
          <w:rFonts w:hint="eastAsia" w:ascii="宋体" w:hAnsi="宋体" w:cs="宋体"/>
          <w:sz w:val="24"/>
        </w:rPr>
        <w:t>5、以下情形不影响声明有效性，也不作为虚假资料情形认定：</w:t>
      </w:r>
    </w:p>
    <w:p>
      <w:pPr>
        <w:pStyle w:val="58"/>
        <w:spacing w:line="360" w:lineRule="auto"/>
        <w:ind w:firstLine="0" w:firstLineChars="0"/>
        <w:rPr>
          <w:rFonts w:ascii="宋体" w:hAnsi="宋体" w:cs="宋体"/>
          <w:sz w:val="24"/>
        </w:rPr>
      </w:pPr>
      <w:r>
        <w:rPr>
          <w:rFonts w:hint="eastAsia" w:ascii="宋体" w:hAnsi="宋体" w:cs="宋体"/>
          <w:sz w:val="24"/>
        </w:rPr>
        <w:t>①划型标准中个别行业不涉及的指标未填写或填写错误的；</w:t>
      </w:r>
    </w:p>
    <w:p>
      <w:pPr>
        <w:pStyle w:val="58"/>
        <w:spacing w:line="360" w:lineRule="auto"/>
        <w:ind w:firstLine="0" w:firstLineChars="0"/>
        <w:rPr>
          <w:rFonts w:ascii="宋体" w:hAnsi="宋体" w:cs="宋体"/>
          <w:sz w:val="24"/>
        </w:rPr>
      </w:pPr>
      <w:r>
        <w:rPr>
          <w:rFonts w:hint="eastAsia" w:ascii="宋体" w:hAnsi="宋体" w:cs="宋体"/>
          <w:sz w:val="24"/>
        </w:rPr>
        <w:t>②声明函中所列行业与磋商文件所明确的行业不一致但不改变划型结果的；</w:t>
      </w:r>
    </w:p>
    <w:p>
      <w:pPr>
        <w:pStyle w:val="58"/>
        <w:spacing w:line="360" w:lineRule="auto"/>
        <w:ind w:firstLine="0" w:firstLineChars="0"/>
        <w:rPr>
          <w:rFonts w:ascii="宋体" w:hAnsi="宋体" w:cs="宋体"/>
          <w:sz w:val="24"/>
        </w:rPr>
      </w:pPr>
      <w:r>
        <w:rPr>
          <w:rFonts w:hint="eastAsia" w:ascii="宋体" w:hAnsi="宋体" w:cs="宋体"/>
          <w:sz w:val="24"/>
        </w:rPr>
        <w:t>③供应商属于非企业性质或属于中华人民共和国境外企业，其提交的中小企业声明函属于明显不实，将不予认定其有效，也不作为虚假资料情形认定。</w:t>
      </w:r>
    </w:p>
    <w:p>
      <w:pPr>
        <w:pStyle w:val="58"/>
        <w:spacing w:line="360" w:lineRule="auto"/>
        <w:ind w:firstLine="0" w:firstLineChars="0"/>
        <w:rPr>
          <w:rFonts w:ascii="宋体" w:hAnsi="宋体" w:cs="宋体"/>
        </w:rPr>
      </w:pPr>
    </w:p>
    <w:p>
      <w:pPr>
        <w:pStyle w:val="58"/>
        <w:spacing w:line="360" w:lineRule="auto"/>
        <w:ind w:firstLine="643"/>
        <w:jc w:val="center"/>
        <w:outlineLvl w:val="2"/>
        <w:rPr>
          <w:rFonts w:ascii="宋体" w:hAnsi="宋体" w:cs="宋体"/>
          <w:sz w:val="32"/>
        </w:rPr>
      </w:pPr>
      <w:bookmarkStart w:id="114" w:name="_Toc31277"/>
      <w:r>
        <w:rPr>
          <w:rFonts w:hint="eastAsia" w:ascii="宋体" w:hAnsi="宋体" w:cs="宋体"/>
          <w:sz w:val="32"/>
          <w:highlight w:val="green"/>
        </w:rPr>
        <w:br w:type="page"/>
      </w:r>
      <w:r>
        <w:rPr>
          <w:rFonts w:hint="eastAsia" w:ascii="宋体" w:hAnsi="宋体" w:cs="宋体"/>
          <w:sz w:val="32"/>
        </w:rPr>
        <w:t>10-2监狱企业相关证明材料</w:t>
      </w:r>
      <w:bookmarkEnd w:id="114"/>
    </w:p>
    <w:p>
      <w:pPr>
        <w:pStyle w:val="58"/>
        <w:spacing w:line="360" w:lineRule="auto"/>
        <w:rPr>
          <w:rFonts w:ascii="宋体" w:hAnsi="宋体" w:cs="宋体"/>
          <w:b w:val="0"/>
          <w:sz w:val="24"/>
        </w:rPr>
      </w:pPr>
      <w:r>
        <w:rPr>
          <w:rFonts w:hint="eastAsia" w:ascii="宋体" w:hAnsi="宋体" w:cs="宋体"/>
          <w:b w:val="0"/>
          <w:sz w:val="24"/>
        </w:rPr>
        <w:t>监狱企业参加政府采购活动时，应当提供由省级以上监狱管理局、戒毒管理局(含新疆生产建设兵团)出具的属于监狱企业的证明文件。</w:t>
      </w:r>
    </w:p>
    <w:p>
      <w:pPr>
        <w:pStyle w:val="58"/>
        <w:spacing w:line="360" w:lineRule="auto"/>
        <w:rPr>
          <w:rFonts w:ascii="宋体" w:hAnsi="宋体" w:cs="宋体"/>
          <w:b w:val="0"/>
          <w:sz w:val="24"/>
        </w:rPr>
      </w:pPr>
      <w:r>
        <w:rPr>
          <w:rFonts w:hint="eastAsia" w:ascii="宋体" w:hAnsi="宋体" w:cs="宋体"/>
          <w:b w:val="0"/>
          <w:sz w:val="24"/>
        </w:rPr>
        <w:t>1、供应商符合《政府采购支持监狱企业发展有关问题的通知》（财库〔2014〕68号）规定的划分标准为监狱企业适用。</w:t>
      </w:r>
    </w:p>
    <w:p>
      <w:pPr>
        <w:pStyle w:val="58"/>
        <w:spacing w:line="360" w:lineRule="auto"/>
        <w:rPr>
          <w:rFonts w:ascii="宋体" w:hAnsi="宋体" w:cs="宋体"/>
          <w:b w:val="0"/>
          <w:sz w:val="24"/>
          <w:highlight w:val="green"/>
        </w:rPr>
      </w:pPr>
      <w:r>
        <w:rPr>
          <w:rFonts w:hint="eastAsia" w:ascii="宋体" w:hAnsi="宋体" w:cs="宋体"/>
          <w:b w:val="0"/>
          <w:sz w:val="24"/>
        </w:rPr>
        <w:t>2、如未提供监狱企业相关证明材料的，则其参与响应的监狱企业不能享受磋商文件规定的价格扣除，但不影响供应商响应文件的有效性。</w:t>
      </w:r>
    </w:p>
    <w:p>
      <w:pPr>
        <w:spacing w:line="360" w:lineRule="auto"/>
        <w:jc w:val="center"/>
        <w:outlineLvl w:val="2"/>
        <w:rPr>
          <w:rFonts w:ascii="宋体" w:hAnsi="宋体" w:cs="宋体"/>
          <w:b/>
          <w:bCs/>
          <w:sz w:val="32"/>
          <w:szCs w:val="32"/>
        </w:rPr>
      </w:pPr>
      <w:bookmarkStart w:id="115" w:name="OLE_LINK13"/>
      <w:bookmarkStart w:id="116" w:name="OLE_LINK14"/>
      <w:r>
        <w:rPr>
          <w:rFonts w:hint="eastAsia" w:ascii="宋体" w:hAnsi="宋体" w:cs="宋体"/>
          <w:b/>
          <w:bCs/>
          <w:sz w:val="32"/>
          <w:szCs w:val="32"/>
        </w:rPr>
        <w:br w:type="page"/>
      </w:r>
      <w:r>
        <w:rPr>
          <w:rFonts w:hint="eastAsia" w:ascii="宋体" w:hAnsi="宋体" w:cs="宋体"/>
          <w:b/>
          <w:bCs/>
          <w:sz w:val="32"/>
          <w:szCs w:val="32"/>
        </w:rPr>
        <w:t>10-3残疾人福利性单位声明函</w:t>
      </w:r>
    </w:p>
    <w:p>
      <w:pPr>
        <w:spacing w:line="360" w:lineRule="auto"/>
        <w:jc w:val="center"/>
        <w:rPr>
          <w:rFonts w:ascii="宋体" w:hAnsi="宋体" w:cs="宋体"/>
          <w:bCs/>
          <w:sz w:val="36"/>
          <w:szCs w:val="36"/>
        </w:rPr>
      </w:pPr>
    </w:p>
    <w:bookmarkEnd w:id="115"/>
    <w:bookmarkEnd w:id="116"/>
    <w:p>
      <w:pPr>
        <w:spacing w:line="360" w:lineRule="auto"/>
        <w:ind w:firstLine="480" w:firstLineChars="200"/>
        <w:rPr>
          <w:rFonts w:ascii="宋体" w:hAnsi="宋体" w:cs="宋体"/>
          <w:sz w:val="24"/>
        </w:rPr>
      </w:pPr>
      <w:r>
        <w:rPr>
          <w:rFonts w:hint="eastAsia" w:ascii="宋体" w:hAnsi="宋体" w:cs="宋体"/>
          <w:sz w:val="24"/>
        </w:rPr>
        <w:t>本单位郑重声明，根据《关于促进残疾人就业政府采购政策的通知》（财库〔2017〕 141号）的规定，本单位为符合条件的残疾人福利性单位，且本单位参加______单位的______项目采购活动由本单位提供服务。</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（盖单位公章）</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tabs>
          <w:tab w:val="left" w:pos="4860"/>
        </w:tabs>
        <w:spacing w:line="360" w:lineRule="auto"/>
        <w:ind w:firstLine="480" w:firstLineChars="200"/>
        <w:jc w:val="center"/>
        <w:rPr>
          <w:rFonts w:ascii="宋体" w:hAnsi="宋体" w:cs="宋体"/>
          <w:sz w:val="24"/>
        </w:rPr>
      </w:pPr>
    </w:p>
    <w:p>
      <w:pPr>
        <w:tabs>
          <w:tab w:val="left" w:pos="4860"/>
        </w:tabs>
        <w:spacing w:line="360" w:lineRule="auto"/>
        <w:rPr>
          <w:rFonts w:ascii="宋体" w:hAnsi="宋体" w:cs="宋体"/>
          <w:sz w:val="24"/>
        </w:rPr>
      </w:pPr>
    </w:p>
    <w:p>
      <w:pPr>
        <w:spacing w:line="360" w:lineRule="auto"/>
        <w:jc w:val="left"/>
        <w:rPr>
          <w:rFonts w:ascii="宋体" w:hAnsi="宋体" w:cs="宋体"/>
          <w:b/>
          <w:bCs/>
          <w:sz w:val="24"/>
          <w:highlight w:val="green"/>
        </w:rPr>
      </w:pPr>
      <w:r>
        <w:rPr>
          <w:rFonts w:hint="eastAsia" w:ascii="宋体" w:hAnsi="宋体" w:cs="宋体"/>
          <w:b/>
          <w:bCs/>
          <w:sz w:val="24"/>
        </w:rPr>
        <w:t>注：如未提供残疾人福利性单位声明函的，则其参与响应的残疾人福利性单位不能享受磋商文件规定的价格扣除。</w:t>
      </w:r>
    </w:p>
    <w:p>
      <w:pPr>
        <w:spacing w:line="360" w:lineRule="auto"/>
        <w:ind w:firstLine="480" w:firstLineChars="200"/>
        <w:jc w:val="center"/>
        <w:outlineLvl w:val="1"/>
        <w:rPr>
          <w:rFonts w:ascii="宋体" w:hAnsi="宋体" w:cs="宋体"/>
          <w:b/>
          <w:color w:val="000000"/>
          <w:spacing w:val="8"/>
          <w:sz w:val="32"/>
          <w:szCs w:val="32"/>
        </w:rPr>
      </w:pPr>
      <w:r>
        <w:rPr>
          <w:rFonts w:hint="eastAsia" w:ascii="宋体" w:hAnsi="宋体" w:cs="宋体"/>
          <w:bCs/>
          <w:sz w:val="24"/>
          <w:highlight w:val="green"/>
        </w:rPr>
        <w:br w:type="page"/>
      </w:r>
      <w:r>
        <w:rPr>
          <w:rFonts w:hint="eastAsia" w:ascii="宋体" w:hAnsi="宋体" w:cs="宋体"/>
          <w:b/>
          <w:color w:val="000000"/>
          <w:sz w:val="32"/>
          <w:szCs w:val="32"/>
        </w:rPr>
        <w:t>十一、服务方案以及供应商认为需要提供的文件和资料（格式自拟）</w:t>
      </w:r>
    </w:p>
    <w:p>
      <w:pPr>
        <w:spacing w:line="360" w:lineRule="auto"/>
        <w:ind w:firstLine="132" w:firstLineChars="55"/>
        <w:jc w:val="center"/>
        <w:rPr>
          <w:rFonts w:ascii="宋体" w:hAnsi="宋体" w:cs="宋体"/>
          <w:color w:val="000000"/>
          <w:sz w:val="24"/>
        </w:rPr>
      </w:pPr>
    </w:p>
    <w:p>
      <w:pPr>
        <w:spacing w:line="360" w:lineRule="auto"/>
        <w:ind w:firstLine="132" w:firstLineChars="55"/>
        <w:jc w:val="center"/>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1.</w:t>
      </w:r>
    </w:p>
    <w:p>
      <w:pPr>
        <w:spacing w:line="360" w:lineRule="auto"/>
        <w:rPr>
          <w:rFonts w:ascii="宋体" w:hAnsi="宋体" w:cs="宋体"/>
          <w:color w:val="000000"/>
          <w:sz w:val="24"/>
        </w:rPr>
      </w:pPr>
      <w:r>
        <w:rPr>
          <w:rFonts w:hint="eastAsia" w:ascii="宋体" w:hAnsi="宋体" w:cs="宋体"/>
          <w:color w:val="000000"/>
          <w:sz w:val="24"/>
        </w:rPr>
        <w:t>2.</w:t>
      </w:r>
    </w:p>
    <w:p>
      <w:pPr>
        <w:spacing w:line="360" w:lineRule="auto"/>
        <w:jc w:val="center"/>
        <w:outlineLvl w:val="1"/>
        <w:rPr>
          <w:rFonts w:ascii="宋体" w:hAnsi="宋体" w:cs="宋体"/>
          <w:b/>
          <w:color w:val="000000"/>
          <w:sz w:val="32"/>
          <w:szCs w:val="32"/>
        </w:rPr>
      </w:pPr>
      <w:r>
        <w:rPr>
          <w:rFonts w:hint="eastAsia" w:ascii="宋体" w:hAnsi="宋体" w:cs="宋体"/>
          <w:szCs w:val="28"/>
        </w:rPr>
        <w:br w:type="page"/>
      </w:r>
      <w:r>
        <w:rPr>
          <w:rFonts w:hint="eastAsia" w:ascii="宋体" w:hAnsi="宋体" w:cs="宋体"/>
          <w:b/>
          <w:color w:val="000000"/>
          <w:sz w:val="32"/>
          <w:szCs w:val="32"/>
        </w:rPr>
        <w:t>十二、最后报价表</w:t>
      </w:r>
    </w:p>
    <w:p>
      <w:pPr>
        <w:spacing w:line="360" w:lineRule="auto"/>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sz w:val="24"/>
        </w:rPr>
      </w:pPr>
      <w:r>
        <w:rPr>
          <w:rFonts w:hint="eastAsia" w:ascii="宋体" w:hAnsi="宋体" w:cs="宋体"/>
          <w:b/>
          <w:sz w:val="24"/>
        </w:rPr>
        <w:t>1、最后报价表不需要封装在响应文件中；</w:t>
      </w:r>
    </w:p>
    <w:p>
      <w:pPr>
        <w:spacing w:line="360" w:lineRule="auto"/>
        <w:rPr>
          <w:rFonts w:ascii="宋体" w:hAnsi="宋体" w:cs="宋体"/>
          <w:b/>
          <w:sz w:val="24"/>
        </w:rPr>
      </w:pPr>
      <w:r>
        <w:rPr>
          <w:rFonts w:hint="eastAsia" w:ascii="宋体" w:hAnsi="宋体" w:cs="宋体"/>
          <w:b/>
          <w:sz w:val="24"/>
        </w:rPr>
        <w:t>2、最后报价表是在通过相关评审后，向评审委员会单独密封递交的文件，需由法定代表人（负责人）或授权代表签字；</w:t>
      </w:r>
    </w:p>
    <w:p>
      <w:pPr>
        <w:spacing w:line="360" w:lineRule="auto"/>
        <w:rPr>
          <w:rFonts w:ascii="宋体" w:hAnsi="宋体" w:cs="宋体"/>
          <w:b/>
          <w:sz w:val="24"/>
        </w:rPr>
      </w:pPr>
      <w:r>
        <w:rPr>
          <w:rFonts w:hint="eastAsia" w:ascii="宋体" w:hAnsi="宋体" w:cs="宋体"/>
          <w:b/>
          <w:sz w:val="24"/>
        </w:rPr>
        <w:t>3、最后报价表可以供应商的法定代表人（负责人）或授权代表在最后报价时手工填写；</w:t>
      </w:r>
    </w:p>
    <w:p>
      <w:pPr>
        <w:spacing w:line="360" w:lineRule="auto"/>
        <w:rPr>
          <w:rFonts w:ascii="宋体" w:hAnsi="宋体" w:cs="宋体"/>
          <w:b/>
          <w:sz w:val="24"/>
        </w:rPr>
      </w:pPr>
      <w:r>
        <w:rPr>
          <w:rFonts w:hint="eastAsia" w:ascii="宋体" w:hAnsi="宋体" w:cs="宋体"/>
          <w:b/>
          <w:sz w:val="24"/>
        </w:rPr>
        <w:t>4、供应商在未提高响应文件中承诺的服务质量的情况下，其最后报价不得高于对该项目之前的报价。</w:t>
      </w:r>
    </w:p>
    <w:p>
      <w:pPr>
        <w:spacing w:line="360" w:lineRule="auto"/>
        <w:rPr>
          <w:rFonts w:ascii="宋体" w:hAnsi="宋体" w:cs="宋体"/>
          <w:sz w:val="24"/>
        </w:rPr>
      </w:pPr>
      <w:r>
        <w:rPr>
          <w:rFonts w:hint="eastAsia" w:ascii="宋体" w:hAnsi="宋体" w:cs="宋体"/>
          <w:sz w:val="24"/>
        </w:rPr>
        <w:t>二、最后报价表格式：</w:t>
      </w:r>
    </w:p>
    <w:p>
      <w:pPr>
        <w:spacing w:line="360" w:lineRule="auto"/>
        <w:jc w:val="center"/>
        <w:rPr>
          <w:rFonts w:ascii="宋体" w:hAnsi="宋体" w:cs="宋体"/>
          <w:b/>
          <w:sz w:val="32"/>
          <w:szCs w:val="32"/>
        </w:rPr>
      </w:pPr>
      <w:r>
        <w:rPr>
          <w:rFonts w:hint="eastAsia" w:ascii="宋体" w:hAnsi="宋体" w:cs="宋体"/>
          <w:b/>
          <w:sz w:val="32"/>
          <w:szCs w:val="32"/>
        </w:rPr>
        <w:t>最后报价表</w:t>
      </w:r>
    </w:p>
    <w:bookmarkEnd w:id="103"/>
    <w:p>
      <w:pPr>
        <w:widowControl/>
        <w:spacing w:line="360" w:lineRule="auto"/>
        <w:ind w:firstLine="470" w:firstLineChars="196"/>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w:t>
      </w:r>
    </w:p>
    <w:tbl>
      <w:tblPr>
        <w:tblStyle w:val="3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85"/>
        <w:gridCol w:w="2236"/>
        <w:gridCol w:w="1078"/>
        <w:gridCol w:w="1438"/>
        <w:gridCol w:w="1137"/>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06" w:type="pct"/>
            <w:vAlign w:val="center"/>
          </w:tcPr>
          <w:p>
            <w:pPr>
              <w:widowControl/>
              <w:spacing w:line="360" w:lineRule="auto"/>
              <w:jc w:val="center"/>
              <w:outlineLvl w:val="1"/>
              <w:rPr>
                <w:rFonts w:ascii="宋体" w:hAnsi="宋体" w:cs="宋体"/>
                <w:sz w:val="24"/>
              </w:rPr>
            </w:pPr>
            <w:r>
              <w:rPr>
                <w:rFonts w:hint="eastAsia" w:ascii="宋体" w:hAnsi="宋体" w:cs="宋体"/>
                <w:sz w:val="24"/>
              </w:rPr>
              <w:t>序号</w:t>
            </w:r>
          </w:p>
        </w:tc>
        <w:tc>
          <w:tcPr>
            <w:tcW w:w="630" w:type="pct"/>
            <w:vAlign w:val="center"/>
          </w:tcPr>
          <w:p>
            <w:pPr>
              <w:widowControl/>
              <w:spacing w:line="360" w:lineRule="auto"/>
              <w:jc w:val="center"/>
              <w:outlineLvl w:val="1"/>
              <w:rPr>
                <w:rFonts w:ascii="宋体" w:hAnsi="宋体" w:cs="宋体"/>
                <w:sz w:val="24"/>
              </w:rPr>
            </w:pPr>
            <w:r>
              <w:rPr>
                <w:rFonts w:hint="eastAsia" w:ascii="宋体" w:hAnsi="宋体" w:cs="宋体"/>
                <w:sz w:val="24"/>
              </w:rPr>
              <w:t>标的名称</w:t>
            </w:r>
          </w:p>
        </w:tc>
        <w:tc>
          <w:tcPr>
            <w:tcW w:w="129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服务期限</w:t>
            </w:r>
          </w:p>
        </w:tc>
        <w:tc>
          <w:tcPr>
            <w:tcW w:w="626" w:type="pct"/>
            <w:vAlign w:val="center"/>
          </w:tcPr>
          <w:p>
            <w:pPr>
              <w:widowControl/>
              <w:spacing w:line="360" w:lineRule="auto"/>
              <w:jc w:val="center"/>
              <w:outlineLvl w:val="1"/>
              <w:rPr>
                <w:rFonts w:ascii="宋体" w:hAnsi="宋体" w:cs="宋体"/>
                <w:sz w:val="24"/>
              </w:rPr>
            </w:pPr>
            <w:r>
              <w:rPr>
                <w:rFonts w:hint="eastAsia" w:ascii="宋体" w:hAnsi="宋体" w:cs="宋体"/>
                <w:sz w:val="24"/>
              </w:rPr>
              <w:t>数量及单位</w:t>
            </w:r>
          </w:p>
        </w:tc>
        <w:tc>
          <w:tcPr>
            <w:tcW w:w="835" w:type="pct"/>
            <w:vAlign w:val="center"/>
          </w:tcPr>
          <w:p>
            <w:pPr>
              <w:widowControl/>
              <w:spacing w:line="360" w:lineRule="auto"/>
              <w:jc w:val="center"/>
              <w:outlineLvl w:val="1"/>
              <w:rPr>
                <w:rFonts w:ascii="宋体" w:hAnsi="宋体" w:cs="宋体"/>
                <w:sz w:val="24"/>
              </w:rPr>
            </w:pPr>
            <w:r>
              <w:rPr>
                <w:rFonts w:hint="eastAsia" w:ascii="宋体" w:hAnsi="宋体" w:cs="宋体"/>
                <w:sz w:val="24"/>
              </w:rPr>
              <w:t>单价</w:t>
            </w:r>
          </w:p>
          <w:p>
            <w:pPr>
              <w:widowControl/>
              <w:spacing w:line="360" w:lineRule="auto"/>
              <w:jc w:val="center"/>
              <w:outlineLvl w:val="1"/>
              <w:rPr>
                <w:rFonts w:ascii="宋体" w:hAnsi="宋体" w:cs="宋体"/>
                <w:sz w:val="24"/>
              </w:rPr>
            </w:pPr>
            <w:r>
              <w:rPr>
                <w:rFonts w:hint="eastAsia" w:ascii="宋体" w:hAnsi="宋体" w:cs="宋体"/>
                <w:sz w:val="24"/>
              </w:rPr>
              <w:t>（万元/年）</w:t>
            </w:r>
          </w:p>
        </w:tc>
        <w:tc>
          <w:tcPr>
            <w:tcW w:w="660" w:type="pct"/>
            <w:vAlign w:val="center"/>
          </w:tcPr>
          <w:p>
            <w:pPr>
              <w:widowControl/>
              <w:spacing w:line="360" w:lineRule="auto"/>
              <w:jc w:val="center"/>
              <w:outlineLvl w:val="1"/>
              <w:rPr>
                <w:rFonts w:ascii="宋体" w:hAnsi="宋体" w:cs="宋体"/>
                <w:sz w:val="24"/>
              </w:rPr>
            </w:pPr>
            <w:r>
              <w:rPr>
                <w:rFonts w:hint="eastAsia" w:ascii="宋体" w:hAnsi="宋体" w:cs="宋体"/>
                <w:sz w:val="24"/>
              </w:rPr>
              <w:t>总价</w:t>
            </w:r>
          </w:p>
          <w:p>
            <w:pPr>
              <w:widowControl/>
              <w:spacing w:line="360" w:lineRule="auto"/>
              <w:jc w:val="center"/>
              <w:outlineLvl w:val="1"/>
              <w:rPr>
                <w:rFonts w:ascii="宋体" w:hAnsi="宋体" w:cs="宋体"/>
                <w:sz w:val="24"/>
              </w:rPr>
            </w:pPr>
            <w:r>
              <w:rPr>
                <w:rFonts w:hint="eastAsia" w:ascii="宋体" w:hAnsi="宋体" w:cs="宋体"/>
                <w:sz w:val="24"/>
              </w:rPr>
              <w:t>（万元）</w:t>
            </w:r>
          </w:p>
        </w:tc>
        <w:tc>
          <w:tcPr>
            <w:tcW w:w="542" w:type="pct"/>
            <w:vAlign w:val="center"/>
          </w:tcPr>
          <w:p>
            <w:pPr>
              <w:widowControl/>
              <w:spacing w:line="360" w:lineRule="auto"/>
              <w:ind w:firstLine="84" w:firstLineChars="35"/>
              <w:jc w:val="center"/>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06" w:type="pct"/>
            <w:vAlign w:val="center"/>
          </w:tcPr>
          <w:p>
            <w:pPr>
              <w:widowControl/>
              <w:spacing w:line="360" w:lineRule="auto"/>
              <w:jc w:val="center"/>
              <w:outlineLvl w:val="1"/>
              <w:rPr>
                <w:rFonts w:ascii="宋体" w:hAnsi="宋体" w:cs="宋体"/>
                <w:sz w:val="24"/>
              </w:rPr>
            </w:pPr>
            <w:r>
              <w:rPr>
                <w:rFonts w:hint="eastAsia" w:ascii="宋体" w:hAnsi="宋体" w:cs="宋体"/>
                <w:sz w:val="24"/>
              </w:rPr>
              <w:t>1</w:t>
            </w:r>
          </w:p>
        </w:tc>
        <w:tc>
          <w:tcPr>
            <w:tcW w:w="630" w:type="pct"/>
            <w:vAlign w:val="center"/>
          </w:tcPr>
          <w:p>
            <w:pPr>
              <w:widowControl/>
              <w:spacing w:line="360" w:lineRule="auto"/>
              <w:jc w:val="center"/>
              <w:outlineLvl w:val="1"/>
              <w:rPr>
                <w:rFonts w:ascii="宋体" w:hAnsi="宋体" w:cs="宋体"/>
                <w:sz w:val="24"/>
              </w:rPr>
            </w:pPr>
            <w:r>
              <w:rPr>
                <w:rFonts w:hint="eastAsia" w:ascii="宋体" w:hAnsi="宋体" w:cs="宋体"/>
                <w:sz w:val="24"/>
              </w:rPr>
              <w:t>全院医学装备技术维保服务</w:t>
            </w:r>
          </w:p>
        </w:tc>
        <w:tc>
          <w:tcPr>
            <w:tcW w:w="1298" w:type="pct"/>
            <w:vAlign w:val="center"/>
          </w:tcPr>
          <w:p>
            <w:pPr>
              <w:widowControl/>
              <w:spacing w:line="360" w:lineRule="auto"/>
              <w:jc w:val="center"/>
              <w:outlineLvl w:val="1"/>
              <w:rPr>
                <w:rFonts w:ascii="宋体" w:hAnsi="宋体" w:cs="宋体"/>
                <w:sz w:val="24"/>
              </w:rPr>
            </w:pPr>
            <w:r>
              <w:rPr>
                <w:rFonts w:hint="eastAsia" w:ascii="宋体" w:hAnsi="宋体" w:cs="宋体"/>
                <w:sz w:val="24"/>
              </w:rPr>
              <w:t>服务期限为：三年，本次一次采三年，合同一年一签，达到采购人要求且合格通过后，续签下一年合同。</w:t>
            </w:r>
          </w:p>
        </w:tc>
        <w:tc>
          <w:tcPr>
            <w:tcW w:w="626" w:type="pct"/>
            <w:vAlign w:val="center"/>
          </w:tcPr>
          <w:p>
            <w:pPr>
              <w:widowControl/>
              <w:spacing w:line="360" w:lineRule="auto"/>
              <w:jc w:val="center"/>
              <w:outlineLvl w:val="1"/>
              <w:rPr>
                <w:rFonts w:ascii="宋体" w:hAnsi="宋体" w:cs="宋体"/>
                <w:sz w:val="24"/>
              </w:rPr>
            </w:pPr>
            <w:r>
              <w:rPr>
                <w:rFonts w:hint="eastAsia" w:ascii="宋体" w:hAnsi="宋体" w:cs="宋体"/>
                <w:sz w:val="24"/>
              </w:rPr>
              <w:t>3年</w:t>
            </w:r>
          </w:p>
        </w:tc>
        <w:tc>
          <w:tcPr>
            <w:tcW w:w="835" w:type="pct"/>
            <w:vAlign w:val="center"/>
          </w:tcPr>
          <w:p>
            <w:pPr>
              <w:widowControl/>
              <w:spacing w:line="360" w:lineRule="auto"/>
              <w:jc w:val="center"/>
              <w:outlineLvl w:val="1"/>
              <w:rPr>
                <w:rFonts w:ascii="宋体" w:hAnsi="宋体" w:cs="宋体"/>
                <w:sz w:val="24"/>
              </w:rPr>
            </w:pPr>
          </w:p>
        </w:tc>
        <w:tc>
          <w:tcPr>
            <w:tcW w:w="660" w:type="pct"/>
            <w:vAlign w:val="center"/>
          </w:tcPr>
          <w:p>
            <w:pPr>
              <w:widowControl/>
              <w:spacing w:line="360" w:lineRule="auto"/>
              <w:jc w:val="center"/>
              <w:outlineLvl w:val="1"/>
              <w:rPr>
                <w:rFonts w:ascii="宋体" w:hAnsi="宋体" w:cs="宋体"/>
                <w:sz w:val="24"/>
              </w:rPr>
            </w:pPr>
          </w:p>
        </w:tc>
        <w:tc>
          <w:tcPr>
            <w:tcW w:w="542" w:type="pct"/>
            <w:vAlign w:val="center"/>
          </w:tcPr>
          <w:p>
            <w:pPr>
              <w:widowControl/>
              <w:spacing w:line="360" w:lineRule="auto"/>
              <w:ind w:firstLine="470" w:firstLineChars="196"/>
              <w:jc w:val="cente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7"/>
            <w:vAlign w:val="center"/>
          </w:tcPr>
          <w:p>
            <w:pPr>
              <w:widowControl/>
              <w:spacing w:line="360" w:lineRule="auto"/>
              <w:ind w:firstLine="470" w:firstLineChars="196"/>
              <w:outlineLvl w:val="1"/>
              <w:rPr>
                <w:rFonts w:ascii="宋体" w:hAnsi="宋体" w:cs="宋体"/>
                <w:sz w:val="24"/>
              </w:rPr>
            </w:pPr>
            <w:r>
              <w:rPr>
                <w:rFonts w:hint="eastAsia" w:ascii="宋体" w:hAnsi="宋体" w:cs="宋体"/>
                <w:sz w:val="24"/>
              </w:rPr>
              <w:t>报价合计（万元）：          大写：</w:t>
            </w:r>
          </w:p>
        </w:tc>
      </w:tr>
    </w:tbl>
    <w:p>
      <w:pPr>
        <w:widowControl/>
        <w:spacing w:line="360" w:lineRule="auto"/>
        <w:ind w:firstLine="470" w:firstLineChars="196"/>
        <w:jc w:val="left"/>
        <w:rPr>
          <w:rFonts w:ascii="宋体" w:hAnsi="宋体" w:cs="宋体"/>
          <w:sz w:val="24"/>
        </w:rPr>
      </w:pPr>
      <w:r>
        <w:rPr>
          <w:rFonts w:hint="eastAsia" w:ascii="宋体" w:hAnsi="宋体" w:cs="宋体"/>
          <w:sz w:val="24"/>
        </w:rPr>
        <w:t xml:space="preserve">注：1、本次报价应是最终用户验收合格后的报价，包括服务全过程和采购文件规定的其它全部费用。 </w:t>
      </w:r>
    </w:p>
    <w:p>
      <w:pPr>
        <w:spacing w:line="360" w:lineRule="auto"/>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spacing w:line="360" w:lineRule="auto"/>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pStyle w:val="9"/>
        <w:spacing w:line="360" w:lineRule="auto"/>
        <w:ind w:firstLineChars="175"/>
        <w:rPr>
          <w:rFonts w:ascii="宋体" w:hAnsi="宋体" w:cs="宋体"/>
          <w:sz w:val="24"/>
          <w:u w:val="single"/>
        </w:rPr>
      </w:pPr>
    </w:p>
    <w:p>
      <w:pPr>
        <w:pStyle w:val="4"/>
        <w:spacing w:before="0" w:after="0" w:line="360" w:lineRule="auto"/>
        <w:jc w:val="center"/>
        <w:rPr>
          <w:rFonts w:ascii="宋体" w:hAnsi="宋体" w:cs="宋体"/>
          <w:color w:val="000000"/>
          <w:sz w:val="24"/>
          <w:szCs w:val="24"/>
        </w:rPr>
      </w:pPr>
      <w:bookmarkStart w:id="117" w:name="_Toc517447494"/>
      <w:r>
        <w:rPr>
          <w:rFonts w:hint="eastAsia" w:ascii="宋体" w:hAnsi="宋体" w:cs="宋体"/>
          <w:bCs w:val="0"/>
          <w:color w:val="000000"/>
          <w:sz w:val="32"/>
          <w:szCs w:val="30"/>
        </w:rPr>
        <w:br w:type="page"/>
      </w:r>
      <w:r>
        <w:rPr>
          <w:rFonts w:hint="eastAsia" w:ascii="宋体" w:hAnsi="宋体" w:cs="宋体"/>
          <w:sz w:val="36"/>
          <w:szCs w:val="36"/>
        </w:rPr>
        <w:t>第七章  评审方法</w:t>
      </w:r>
      <w:bookmarkEnd w:id="117"/>
      <w:bookmarkStart w:id="118" w:name="_Toc101250640"/>
      <w:bookmarkStart w:id="119" w:name="_Toc101174146"/>
      <w:bookmarkStart w:id="120" w:name="_Toc209847065"/>
      <w:bookmarkStart w:id="121" w:name="_Toc101338358"/>
      <w:bookmarkStart w:id="122" w:name="_Toc430773924"/>
    </w:p>
    <w:p>
      <w:pPr>
        <w:pStyle w:val="5"/>
        <w:keepNext w:val="0"/>
        <w:keepLines w:val="0"/>
        <w:spacing w:before="0" w:after="0" w:line="360" w:lineRule="auto"/>
        <w:ind w:firstLine="472" w:firstLineChars="196"/>
        <w:rPr>
          <w:rFonts w:ascii="宋体" w:hAnsi="宋体" w:eastAsia="宋体" w:cs="宋体"/>
          <w:color w:val="000000"/>
          <w:sz w:val="24"/>
          <w:szCs w:val="24"/>
        </w:rPr>
      </w:pPr>
      <w:r>
        <w:rPr>
          <w:rFonts w:hint="eastAsia" w:ascii="宋体" w:hAnsi="宋体" w:eastAsia="宋体" w:cs="宋体"/>
          <w:color w:val="000000"/>
          <w:sz w:val="24"/>
          <w:szCs w:val="24"/>
        </w:rPr>
        <w:t>1.总则</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1.1 根据《中华人民共和国政府采购法》、《中华人民共和国政府采购法实施条例》、《政府采购竞争性磋商采购方式管理暂行办法》等法律制度，结合本采购项目特点制定本磋商方法。</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1.2 磋商工作由绵竹市中医医院负责组织，具体磋商由绵竹市中医医院依法组建的磋商小组负责。</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1.3 磋商工作应遵循公平、公正、科学及择优的原则，并以相同的磋商程序和标准对待所有的供应商。</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1.4 磋商小组按照磋商文件规定的磋商程序、评分方法和标准进行评审，并独立履行下列职责：</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（一）熟悉和理解磋商文件，确定磋商文件内容是否违反国家有关强制性规定或者磋商文件存在歧义、重大缺陷，根据需要书面要求采购人、采购代理机构对磋商文件作出解释；</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（二）审查供应商响应文件是否满足磋商文件要求，并作出公正评价；</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（三）根据需要要求供应商对响应文件中含义不明确、同类问题表述不一致或者有明显文字和计算错误的内容等作出必要的澄清、说明或者更正；</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（四）推荐成交供应商，或者受采购人委托确定成交供应商；</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（五）起草评审报告并进行签署；</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（六）向采购人、采购代理机构、财政部门或者其他监督部门报告非法干预评审工作的行为；</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（七）法律、法规和规章规定的其他职责。</w:t>
      </w:r>
    </w:p>
    <w:p>
      <w:pPr>
        <w:spacing w:line="360" w:lineRule="auto"/>
        <w:ind w:firstLine="470" w:firstLineChars="196"/>
        <w:rPr>
          <w:rFonts w:ascii="宋体" w:hAnsi="宋体" w:cs="宋体"/>
          <w:bCs/>
          <w:color w:val="000000"/>
          <w:sz w:val="24"/>
        </w:rPr>
      </w:pPr>
      <w:r>
        <w:rPr>
          <w:rFonts w:hint="eastAsia" w:ascii="宋体" w:hAnsi="宋体" w:cs="宋体"/>
          <w:bCs/>
          <w:color w:val="000000"/>
          <w:sz w:val="24"/>
        </w:rPr>
        <w:t xml:space="preserve">1.5 </w:t>
      </w:r>
      <w:r>
        <w:rPr>
          <w:rFonts w:hint="eastAsia" w:ascii="宋体" w:hAnsi="宋体" w:cs="宋体"/>
          <w:b/>
          <w:color w:val="000000"/>
          <w:sz w:val="24"/>
        </w:rPr>
        <w:t>（实质性要求）磋商过程独立、保密。供应商非法干预磋商过程的，其响应文件作无效处理。</w:t>
      </w:r>
    </w:p>
    <w:p>
      <w:pPr>
        <w:spacing w:line="360" w:lineRule="auto"/>
        <w:ind w:firstLine="413"/>
        <w:rPr>
          <w:rFonts w:ascii="宋体" w:hAnsi="宋体" w:cs="宋体"/>
        </w:rPr>
      </w:pPr>
    </w:p>
    <w:p>
      <w:pPr>
        <w:pStyle w:val="5"/>
        <w:keepNext w:val="0"/>
        <w:keepLines w:val="0"/>
        <w:spacing w:before="0" w:after="0" w:line="360" w:lineRule="auto"/>
        <w:ind w:firstLine="472" w:firstLineChars="196"/>
        <w:rPr>
          <w:rFonts w:ascii="宋体" w:hAnsi="宋体" w:eastAsia="宋体" w:cs="宋体"/>
          <w:color w:val="000000"/>
          <w:sz w:val="24"/>
          <w:szCs w:val="24"/>
        </w:rPr>
      </w:pPr>
      <w:r>
        <w:rPr>
          <w:rFonts w:hint="eastAsia" w:ascii="宋体" w:hAnsi="宋体" w:eastAsia="宋体" w:cs="宋体"/>
          <w:color w:val="000000"/>
          <w:sz w:val="24"/>
          <w:szCs w:val="24"/>
        </w:rPr>
        <w:t>2.磋商程序</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2.1审查磋商文件和停止评审。</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2.1.2 本磋商文件有下列情形之一的，磋商小组应当停止评审：</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（1）磋商文件的规定存在歧义、重大缺陷的；</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（2）磋商文件明显以不合理条件对供应商实行差别待遇或者歧视待遇的；</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（3）采购项目属于国家规定的优先、强制采购范围，但是磋商文件未依法体现优先、强制采购相关规定的；</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（4）采购项目属于政府采购促进中小企业发展的范围，但是磋商文件未依法体现促进中小企业发展相关规定的；</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（5）磋商文件将供应商的资格条件列为评分因素的；</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（6）磋商文件载明的成交原则不合法的；</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（7）磋商文件有违反国家其他有关强制性规定的情形。</w:t>
      </w:r>
    </w:p>
    <w:p>
      <w:pPr>
        <w:spacing w:line="360" w:lineRule="auto"/>
        <w:ind w:firstLine="472" w:firstLineChars="196"/>
        <w:rPr>
          <w:rFonts w:ascii="宋体" w:hAnsi="宋体" w:cs="宋体"/>
          <w:b/>
          <w:sz w:val="24"/>
        </w:rPr>
      </w:pPr>
      <w:r>
        <w:rPr>
          <w:rFonts w:hint="eastAsia" w:ascii="宋体" w:hAnsi="宋体" w:cs="宋体"/>
          <w:b/>
          <w:sz w:val="24"/>
        </w:rPr>
        <w:t>2.1.3 出现本条2.1.2规定应当停止评审情形的，磋商小组应当向采购人书面说明情况。除本条规定的情形外，磋商小组不得以任何方式和理由停止评审。</w:t>
      </w:r>
    </w:p>
    <w:p>
      <w:pPr>
        <w:spacing w:line="360" w:lineRule="auto"/>
        <w:ind w:firstLine="472" w:firstLineChars="196"/>
        <w:rPr>
          <w:rFonts w:ascii="宋体" w:hAnsi="宋体" w:cs="宋体"/>
          <w:b/>
          <w:sz w:val="24"/>
        </w:rPr>
      </w:pPr>
      <w:r>
        <w:rPr>
          <w:rFonts w:hint="eastAsia" w:ascii="宋体" w:hAnsi="宋体" w:cs="宋体"/>
          <w:b/>
          <w:sz w:val="24"/>
        </w:rPr>
        <w:t>2.2资格性审查。</w:t>
      </w:r>
    </w:p>
    <w:p>
      <w:pPr>
        <w:spacing w:line="360" w:lineRule="auto"/>
        <w:ind w:firstLine="472" w:firstLineChars="196"/>
        <w:rPr>
          <w:rFonts w:ascii="宋体" w:hAnsi="宋体" w:cs="宋体"/>
          <w:b/>
          <w:sz w:val="24"/>
          <w:highlight w:val="green"/>
        </w:rPr>
      </w:pPr>
      <w:r>
        <w:rPr>
          <w:rFonts w:hint="eastAsia" w:ascii="宋体" w:hAnsi="宋体" w:cs="宋体"/>
          <w:b/>
          <w:sz w:val="24"/>
        </w:rPr>
        <w:t>2.2.1本项目需要磋商小组进行资格性检查。</w:t>
      </w:r>
    </w:p>
    <w:p>
      <w:pPr>
        <w:spacing w:line="360" w:lineRule="auto"/>
        <w:ind w:firstLine="472" w:firstLineChars="196"/>
        <w:rPr>
          <w:rFonts w:ascii="宋体" w:hAnsi="宋体" w:cs="宋体"/>
          <w:b/>
          <w:sz w:val="24"/>
        </w:rPr>
      </w:pPr>
      <w:r>
        <w:rPr>
          <w:rFonts w:hint="eastAsia" w:ascii="宋体" w:hAnsi="宋体" w:cs="宋体"/>
          <w:b/>
          <w:sz w:val="24"/>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72" w:firstLineChars="196"/>
        <w:rPr>
          <w:rFonts w:ascii="宋体" w:hAnsi="宋体" w:cs="宋体"/>
          <w:b/>
          <w:sz w:val="24"/>
        </w:rPr>
      </w:pPr>
      <w:r>
        <w:rPr>
          <w:rFonts w:hint="eastAsia" w:ascii="宋体" w:hAnsi="宋体" w:cs="宋体"/>
          <w:b/>
          <w:sz w:val="24"/>
        </w:rPr>
        <w:t>2.2.2资格性审查结束后，磋商小组应当出具资格性审查报告，没有通过资格审查的供应商，磋商小组应当在资格审查报告中说明原因。</w:t>
      </w:r>
    </w:p>
    <w:p>
      <w:pPr>
        <w:spacing w:line="360" w:lineRule="auto"/>
        <w:ind w:firstLine="472" w:firstLineChars="196"/>
        <w:rPr>
          <w:rFonts w:ascii="宋体" w:hAnsi="宋体" w:cs="宋体"/>
          <w:b/>
          <w:sz w:val="24"/>
        </w:rPr>
      </w:pPr>
      <w:r>
        <w:rPr>
          <w:rFonts w:hint="eastAsia" w:ascii="宋体" w:hAnsi="宋体" w:cs="宋体"/>
          <w:b/>
          <w:sz w:val="24"/>
        </w:rPr>
        <w:t>2.2.3磋商小组应依据磋商文件规定的实质性要求，对符合资格的响应文件进行有效性、完整性和响应程度审查，以确定参加磋商的供应商名单。</w:t>
      </w:r>
    </w:p>
    <w:p>
      <w:pPr>
        <w:spacing w:line="360" w:lineRule="auto"/>
        <w:ind w:firstLine="472" w:firstLineChars="196"/>
        <w:rPr>
          <w:rFonts w:ascii="宋体" w:hAnsi="宋体" w:cs="宋体"/>
          <w:b/>
          <w:sz w:val="24"/>
        </w:rPr>
      </w:pPr>
      <w:r>
        <w:rPr>
          <w:rFonts w:hint="eastAsia" w:ascii="宋体" w:hAnsi="宋体" w:cs="宋体"/>
          <w:b/>
          <w:sz w:val="24"/>
        </w:rPr>
        <w:t>2.2.4采购人或者采购代理机构宣布未通过资格性审查的供应商名单时，应当告知供应商未通过审查的原因。</w:t>
      </w:r>
    </w:p>
    <w:p>
      <w:pPr>
        <w:spacing w:line="360" w:lineRule="auto"/>
        <w:ind w:firstLine="472" w:firstLineChars="196"/>
        <w:rPr>
          <w:rFonts w:ascii="宋体" w:hAnsi="宋体" w:cs="宋体"/>
          <w:b/>
          <w:sz w:val="24"/>
        </w:rPr>
      </w:pPr>
      <w:r>
        <w:rPr>
          <w:rFonts w:hint="eastAsia" w:ascii="宋体" w:hAnsi="宋体" w:cs="宋体"/>
          <w:b/>
          <w:sz w:val="24"/>
        </w:rPr>
        <w:t>2.3 通过资格性审查的供应商不足三家的，终止本次采购活动，并发布终止采购活动公告。</w:t>
      </w:r>
    </w:p>
    <w:p>
      <w:pPr>
        <w:spacing w:line="360" w:lineRule="auto"/>
        <w:ind w:firstLine="472" w:firstLineChars="196"/>
        <w:rPr>
          <w:rFonts w:ascii="宋体" w:hAnsi="宋体" w:cs="宋体"/>
          <w:b/>
          <w:sz w:val="24"/>
        </w:rPr>
      </w:pPr>
      <w:r>
        <w:rPr>
          <w:rFonts w:hint="eastAsia" w:ascii="宋体" w:hAnsi="宋体" w:cs="宋体"/>
          <w:b/>
          <w:sz w:val="24"/>
        </w:rPr>
        <w:t>2.4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pPr>
        <w:spacing w:line="360" w:lineRule="auto"/>
        <w:ind w:firstLine="472" w:firstLineChars="196"/>
        <w:rPr>
          <w:rFonts w:ascii="宋体" w:hAnsi="宋体" w:cs="宋体"/>
          <w:b/>
          <w:sz w:val="24"/>
        </w:rPr>
      </w:pPr>
      <w:r>
        <w:rPr>
          <w:rFonts w:hint="eastAsia" w:ascii="宋体" w:hAnsi="宋体" w:cs="宋体"/>
          <w:b/>
          <w:sz w:val="24"/>
        </w:rPr>
        <w:t>2.5磋商。</w:t>
      </w:r>
    </w:p>
    <w:p>
      <w:pPr>
        <w:spacing w:line="360" w:lineRule="auto"/>
        <w:ind w:firstLine="472" w:firstLineChars="196"/>
        <w:rPr>
          <w:rFonts w:ascii="宋体" w:hAnsi="宋体" w:cs="宋体"/>
          <w:b/>
          <w:sz w:val="24"/>
        </w:rPr>
      </w:pPr>
      <w:r>
        <w:rPr>
          <w:rFonts w:hint="eastAsia" w:ascii="宋体" w:hAnsi="宋体" w:cs="宋体"/>
          <w:b/>
          <w:sz w:val="24"/>
        </w:rPr>
        <w:t>2.5.1磋商小组所有成员集中与单一供应商分别进行一轮或多轮磋商，并给予所有参加磋商的供应商平等的磋商机会。磋商顺序以现场抽签的方式确定。磋商过程中，磋商小组可以根据磋商情况调整磋商轮次。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72" w:firstLineChars="196"/>
        <w:rPr>
          <w:rFonts w:ascii="宋体" w:hAnsi="宋体" w:cs="宋体"/>
          <w:b/>
          <w:sz w:val="24"/>
        </w:rPr>
      </w:pPr>
      <w:r>
        <w:rPr>
          <w:rFonts w:hint="eastAsia" w:ascii="宋体" w:hAnsi="宋体" w:cs="宋体"/>
          <w:b/>
          <w:sz w:val="24"/>
        </w:rPr>
        <w:t>2.5.2每轮磋商开始前，磋商小组应根据磋商文件的规定，并结合各供应商的响应文件拟定磋商内容。</w:t>
      </w:r>
    </w:p>
    <w:p>
      <w:pPr>
        <w:spacing w:line="360" w:lineRule="auto"/>
        <w:ind w:firstLine="472" w:firstLineChars="196"/>
        <w:rPr>
          <w:rFonts w:ascii="宋体" w:hAnsi="宋体" w:cs="宋体"/>
          <w:b/>
          <w:sz w:val="24"/>
        </w:rPr>
      </w:pPr>
      <w:r>
        <w:rPr>
          <w:rFonts w:hint="eastAsia" w:ascii="宋体" w:hAnsi="宋体" w:cs="宋体"/>
          <w:b/>
          <w:sz w:val="24"/>
        </w:rPr>
        <w:t>2.5.3在磋商过程中，磋商小组可以根据磋商文件和磋商情况实质性变动磋商文件的技术、服务要求以及合同草案条款，但不得变动磋商文件中的其他内容。实质性变动的内容，须经采购人代表书面确认。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72" w:firstLineChars="196"/>
        <w:rPr>
          <w:rFonts w:ascii="宋体" w:hAnsi="宋体" w:cs="宋体"/>
          <w:b/>
          <w:sz w:val="24"/>
        </w:rPr>
      </w:pPr>
      <w:r>
        <w:rPr>
          <w:rFonts w:hint="eastAsia" w:ascii="宋体" w:hAnsi="宋体" w:cs="宋体"/>
          <w:b/>
          <w:sz w:val="24"/>
        </w:rPr>
        <w:t>2.5.4对磋商文件作出的实质性变动是磋商文件的有效组成部分，磋商小组应当及时以书面形式同时通知所有参加磋商的供应商。</w:t>
      </w:r>
    </w:p>
    <w:p>
      <w:pPr>
        <w:spacing w:line="360" w:lineRule="auto"/>
        <w:ind w:firstLine="472" w:firstLineChars="196"/>
        <w:rPr>
          <w:rFonts w:ascii="宋体" w:hAnsi="宋体" w:cs="宋体"/>
          <w:b/>
          <w:sz w:val="24"/>
        </w:rPr>
      </w:pPr>
      <w:r>
        <w:rPr>
          <w:rFonts w:hint="eastAsia" w:ascii="宋体" w:hAnsi="宋体" w:cs="宋体"/>
          <w:b/>
          <w:sz w:val="24"/>
        </w:rPr>
        <w:t>2.5.5磋商过程中，磋商文件变动的，供应商应当按照磋商文件的变动情况和磋商小组的要求重新提交响应文件，并由其法定代表人（负责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72" w:firstLineChars="196"/>
        <w:rPr>
          <w:rFonts w:ascii="宋体" w:hAnsi="宋体" w:cs="宋体"/>
          <w:b/>
          <w:sz w:val="24"/>
        </w:rPr>
      </w:pPr>
      <w:r>
        <w:rPr>
          <w:rFonts w:hint="eastAsia" w:ascii="宋体" w:hAnsi="宋体" w:cs="宋体"/>
          <w:b/>
          <w:sz w:val="24"/>
        </w:rPr>
        <w:t>2.5.6磋商过程中，磋商的任何一方不得透露与磋商有关的其他供应商的技术资料、价格和其他信息。</w:t>
      </w:r>
    </w:p>
    <w:p>
      <w:pPr>
        <w:spacing w:line="360" w:lineRule="auto"/>
        <w:ind w:firstLine="472" w:firstLineChars="196"/>
        <w:rPr>
          <w:rFonts w:ascii="宋体" w:hAnsi="宋体" w:cs="宋体"/>
          <w:b/>
          <w:sz w:val="24"/>
        </w:rPr>
      </w:pPr>
      <w:r>
        <w:rPr>
          <w:rFonts w:hint="eastAsia" w:ascii="宋体" w:hAnsi="宋体" w:cs="宋体"/>
          <w:b/>
          <w:sz w:val="24"/>
        </w:rPr>
        <w:t>2.5.7磋商过程中，磋商小组发现或者知晓供应商存在违法、违纪行为的，磋商小组应当将该供应商响应文件作无效处理，不允许其提交最后报价。</w:t>
      </w:r>
    </w:p>
    <w:p>
      <w:pPr>
        <w:spacing w:line="360" w:lineRule="auto"/>
        <w:ind w:firstLine="472" w:firstLineChars="196"/>
        <w:rPr>
          <w:rFonts w:ascii="宋体" w:hAnsi="宋体" w:cs="宋体"/>
          <w:b/>
          <w:sz w:val="24"/>
        </w:rPr>
      </w:pPr>
      <w:r>
        <w:rPr>
          <w:rFonts w:hint="eastAsia" w:ascii="宋体" w:hAnsi="宋体" w:cs="宋体"/>
          <w:b/>
          <w:color w:val="000000"/>
          <w:sz w:val="24"/>
        </w:rPr>
        <w:t>2.5.8磋商完成后，磋商小组应出具磋商情况记录表，磋商情况记录表需包含磋商内容、磋商意见、实质性变动内容等。</w:t>
      </w:r>
      <w:r>
        <w:rPr>
          <w:rFonts w:hint="eastAsia" w:ascii="宋体" w:hAnsi="宋体" w:cs="宋体"/>
          <w:b/>
          <w:sz w:val="24"/>
        </w:rPr>
        <w:t xml:space="preserve">   </w:t>
      </w:r>
    </w:p>
    <w:p>
      <w:pPr>
        <w:spacing w:line="360" w:lineRule="auto"/>
        <w:ind w:firstLine="480" w:firstLineChars="200"/>
        <w:rPr>
          <w:rFonts w:ascii="宋体" w:hAnsi="宋体" w:cs="宋体"/>
          <w:sz w:val="24"/>
        </w:rPr>
      </w:pPr>
      <w:r>
        <w:rPr>
          <w:rFonts w:hint="eastAsia" w:ascii="宋体" w:hAnsi="宋体" w:cs="宋体"/>
          <w:sz w:val="24"/>
        </w:rPr>
        <w:t>2.6最后报价。</w:t>
      </w:r>
    </w:p>
    <w:p>
      <w:pPr>
        <w:spacing w:line="360" w:lineRule="auto"/>
        <w:ind w:firstLine="480" w:firstLineChars="200"/>
        <w:rPr>
          <w:rFonts w:ascii="宋体" w:hAnsi="宋体" w:cs="宋体"/>
          <w:sz w:val="24"/>
        </w:rPr>
      </w:pPr>
      <w:r>
        <w:rPr>
          <w:rFonts w:hint="eastAsia" w:ascii="宋体" w:hAnsi="宋体" w:cs="宋体"/>
          <w:sz w:val="24"/>
        </w:rPr>
        <w:t>2.6.1磋商文件能够详细列明采购标的的技术、服务要求的，磋商结束后，磋商小组应当要求所有实质性响应的供应商在规定时间内提交最后报价，提交最后报价的供应商不得少于三家（符合本章2.4的规定情况的可以为2家）。或磋商文件不能详细列明采购标的的技术、服务要求，需经磋商由供应商提供最终设计方案或解决方案的，磋商结束后，磋商小组应当按照少数服从多数的原则投票推荐三家（符合本章2.4的规定情况的可以为2家）以上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2.6.2磋商结束后，磋商小组应当要求所有实质性响应的供应商在规定时间内提交最后报价。两轮（若有）以上报价的，</w:t>
      </w:r>
      <w:bookmarkStart w:id="123" w:name="OLE_LINK6"/>
      <w:r>
        <w:rPr>
          <w:rFonts w:hint="eastAsia" w:ascii="宋体" w:hAnsi="宋体" w:cs="宋体"/>
          <w:sz w:val="24"/>
        </w:rPr>
        <w:t>供应商在未提高响应文件中承诺的产品及其服务质量的情况下，其最后报价不得高于对该项目之前的报价</w:t>
      </w:r>
      <w:bookmarkEnd w:id="123"/>
      <w:r>
        <w:rPr>
          <w:rFonts w:hint="eastAsia" w:ascii="宋体" w:hAnsi="宋体" w:cs="宋体"/>
          <w:sz w:val="24"/>
        </w:rPr>
        <w:t>，否则，磋商小组应当对其响应文件按无效处理，不允许进入综合评分，并书面告知供应商，说明理由。</w:t>
      </w:r>
    </w:p>
    <w:p>
      <w:pPr>
        <w:spacing w:line="360" w:lineRule="auto"/>
        <w:ind w:firstLine="480" w:firstLineChars="200"/>
        <w:rPr>
          <w:rFonts w:ascii="宋体" w:hAnsi="宋体" w:cs="宋体"/>
          <w:sz w:val="24"/>
        </w:rPr>
      </w:pPr>
      <w:r>
        <w:rPr>
          <w:rFonts w:hint="eastAsia" w:ascii="宋体" w:hAnsi="宋体" w:cs="宋体"/>
          <w:sz w:val="24"/>
        </w:rPr>
        <w:t>2.6.3供应商最后报价应当由法定代表人（负责人）/主要负责人/本人或其授权代表签字确认或加盖公章。最后报价是供应商响应文件的有效组成部分。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2.6.4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2.7比较与评价。由磋商小组采用综合评分法对提交最后报价的供应商的响应文件和最后报价进行综合评分，具体要求详见本章综合评分部分。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highlight w:val="yellow"/>
        </w:rPr>
      </w:pPr>
      <w:r>
        <w:rPr>
          <w:rFonts w:hint="eastAsia" w:ascii="宋体" w:hAnsi="宋体" w:cs="宋体"/>
          <w:sz w:val="24"/>
        </w:rPr>
        <w:t>2.8推荐成交候选供应商。磋商小组应当根据综合评分情况，按照评审得分由高到低顺序推荐三家以上（符合本章2.4的规定情况的可以为2家）成交候选供应商，并编写磋商报告。评审得分相同的，按照最后报价由低到高的顺序推荐。评审得分且最后报价相同的，按照技术指标优劣顺序推荐。评审得分且最后报价且技术指标分项得分均相同的，</w:t>
      </w:r>
      <w:r>
        <w:rPr>
          <w:rFonts w:hint="eastAsia" w:ascii="宋体" w:hAnsi="宋体" w:cs="宋体"/>
          <w:color w:val="000000"/>
          <w:kern w:val="0"/>
          <w:sz w:val="24"/>
          <w:lang w:bidi="ar"/>
        </w:rPr>
        <w:t>优先选择不发达地区或少数民族地区的供应商</w:t>
      </w:r>
      <w:r>
        <w:rPr>
          <w:rFonts w:hint="eastAsia" w:ascii="宋体" w:hAnsi="宋体" w:cs="宋体"/>
          <w:sz w:val="24"/>
        </w:rPr>
        <w:t>。评审得分且最后报价且技术指标分项得分均相同，</w:t>
      </w:r>
      <w:r>
        <w:rPr>
          <w:rFonts w:hint="eastAsia" w:ascii="宋体" w:hAnsi="宋体" w:cs="宋体"/>
          <w:color w:val="000000"/>
          <w:kern w:val="0"/>
          <w:sz w:val="24"/>
          <w:lang w:bidi="ar"/>
        </w:rPr>
        <w:t>无供应商属于不发达地区或少数民族地区或供应商均属于不发达地区或少数民族地区的并列,由采购人自主采取公平、择优的方式选择成交候选人。（不发达地区的供应商需提供属于不发达地区的相关证明材料，</w:t>
      </w:r>
      <w:r>
        <w:rPr>
          <w:rFonts w:hint="eastAsia" w:ascii="宋体" w:hAnsi="宋体" w:cs="宋体"/>
          <w:sz w:val="24"/>
        </w:rPr>
        <w:t>少数民族地区提供相关证明材料或供应商注册地为少数民族地区。）</w:t>
      </w:r>
    </w:p>
    <w:p>
      <w:pPr>
        <w:spacing w:line="360" w:lineRule="auto"/>
        <w:ind w:firstLine="480" w:firstLineChars="200"/>
        <w:rPr>
          <w:rFonts w:ascii="宋体" w:hAnsi="宋体" w:cs="宋体"/>
          <w:sz w:val="24"/>
        </w:rPr>
      </w:pPr>
      <w:r>
        <w:rPr>
          <w:rFonts w:hint="eastAsia" w:ascii="宋体" w:hAnsi="宋体" w:cs="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2.10采购组织单位现场复核评审结果。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2.10.2有下列情形之一的，不得现场修改评审结果：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2.11编写磋商报告。磋商小组推荐成交候选供应商后，应向出具磋商报告。磋商报告应当包括以下主要内容：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2.13供应商澄清、说明</w:t>
      </w:r>
    </w:p>
    <w:p>
      <w:pPr>
        <w:spacing w:line="360" w:lineRule="auto"/>
        <w:ind w:firstLine="480" w:firstLineChars="200"/>
        <w:rPr>
          <w:rFonts w:ascii="宋体" w:hAnsi="宋体" w:cs="宋体"/>
          <w:sz w:val="24"/>
        </w:rPr>
      </w:pPr>
      <w:r>
        <w:rPr>
          <w:rFonts w:hint="eastAsia" w:ascii="宋体" w:hAnsi="宋体" w:cs="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2.13.2磋商小组要求供应商澄清、说明或者更正响应文件应当以书面形式作出。供应商的澄清、说明或者更正应当由法定代表人（负责人）/主要负责人/本人或其授权代表签字或者加盖公章。</w:t>
      </w:r>
    </w:p>
    <w:p>
      <w:pPr>
        <w:spacing w:line="360" w:lineRule="auto"/>
        <w:ind w:firstLine="480" w:firstLineChars="200"/>
        <w:rPr>
          <w:rFonts w:ascii="宋体" w:hAnsi="宋体" w:cs="宋体"/>
          <w:sz w:val="24"/>
        </w:rPr>
      </w:pPr>
      <w:r>
        <w:rPr>
          <w:rFonts w:hint="eastAsia" w:ascii="宋体" w:hAnsi="宋体" w:cs="宋体"/>
          <w:sz w:val="24"/>
        </w:rPr>
        <w:t>2.14终止磋商采购活动。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（3）在采购过程中符合要求的供应商或者报价未超过采购预算的供应商不足三家的（符合本章2.4的规定情况的可以为2家）。</w:t>
      </w:r>
    </w:p>
    <w:p>
      <w:pPr>
        <w:spacing w:line="360" w:lineRule="auto"/>
        <w:ind w:firstLine="480" w:firstLineChars="200"/>
        <w:rPr>
          <w:rFonts w:ascii="宋体" w:hAnsi="宋体" w:cs="宋体"/>
          <w:color w:val="FF0000"/>
          <w:sz w:val="24"/>
        </w:rPr>
      </w:pPr>
    </w:p>
    <w:p>
      <w:pPr>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3.综合评分</w:t>
      </w:r>
    </w:p>
    <w:p>
      <w:pPr>
        <w:spacing w:line="360" w:lineRule="auto"/>
        <w:ind w:firstLine="480" w:firstLineChars="200"/>
        <w:rPr>
          <w:rFonts w:ascii="宋体" w:hAnsi="宋体" w:cs="宋体"/>
          <w:sz w:val="24"/>
        </w:rPr>
      </w:pPr>
      <w:r>
        <w:rPr>
          <w:rFonts w:hint="eastAsia" w:ascii="宋体" w:hAnsi="宋体" w:cs="宋体"/>
          <w:color w:val="000000"/>
          <w:sz w:val="24"/>
        </w:rPr>
        <w:t>3.1</w:t>
      </w:r>
      <w:r>
        <w:rPr>
          <w:rFonts w:hint="eastAsia" w:ascii="宋体" w:hAnsi="宋体" w:cs="宋体"/>
          <w:sz w:val="24"/>
        </w:rPr>
        <w:t>本次综合评分的因素是：</w:t>
      </w:r>
      <w:r>
        <w:rPr>
          <w:rFonts w:hint="eastAsia" w:ascii="宋体" w:hAnsi="宋体" w:cs="宋体"/>
          <w:kern w:val="0"/>
          <w:sz w:val="24"/>
        </w:rPr>
        <w:t>详见“综合评分明细表”</w:t>
      </w:r>
      <w:r>
        <w:rPr>
          <w:rFonts w:hint="eastAsia" w:ascii="宋体" w:hAnsi="宋体" w:cs="宋体"/>
          <w:sz w:val="24"/>
        </w:rPr>
        <w:t>。</w:t>
      </w:r>
    </w:p>
    <w:p>
      <w:pPr>
        <w:pStyle w:val="14"/>
        <w:tabs>
          <w:tab w:val="left" w:pos="60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w:t>
      </w:r>
      <w:r>
        <w:rPr>
          <w:rFonts w:hint="eastAsia" w:ascii="宋体" w:hAnsi="宋体" w:cs="宋体"/>
          <w:sz w:val="24"/>
          <w:szCs w:val="24"/>
        </w:rPr>
        <w:t>综合评分明细表</w:t>
      </w:r>
    </w:p>
    <w:p>
      <w:pPr>
        <w:pStyle w:val="14"/>
        <w:tabs>
          <w:tab w:val="left" w:pos="600"/>
        </w:tabs>
        <w:spacing w:line="360" w:lineRule="auto"/>
        <w:ind w:firstLine="480" w:firstLineChars="200"/>
        <w:rPr>
          <w:rFonts w:ascii="宋体" w:hAnsi="宋体" w:cs="宋体"/>
          <w:sz w:val="24"/>
          <w:szCs w:val="24"/>
        </w:rPr>
      </w:pPr>
      <w:r>
        <w:rPr>
          <w:rFonts w:hint="eastAsia" w:ascii="宋体" w:hAnsi="宋体" w:cs="宋体"/>
          <w:sz w:val="24"/>
          <w:szCs w:val="24"/>
        </w:rPr>
        <w:t>3.2.1综合评分明细表的制定以科学合理、降低评委会自由裁量权为原则。</w:t>
      </w:r>
    </w:p>
    <w:p>
      <w:pPr>
        <w:spacing w:line="360" w:lineRule="auto"/>
        <w:ind w:firstLine="472" w:firstLineChars="196"/>
        <w:rPr>
          <w:rFonts w:ascii="宋体" w:hAnsi="宋体" w:cs="宋体"/>
          <w:b/>
          <w:sz w:val="24"/>
        </w:rPr>
      </w:pPr>
      <w:r>
        <w:rPr>
          <w:rFonts w:hint="eastAsia" w:ascii="宋体" w:hAnsi="宋体" w:cs="宋体"/>
          <w:b/>
          <w:sz w:val="24"/>
        </w:rPr>
        <w:t>3.2.2综合评分明细表</w:t>
      </w:r>
    </w:p>
    <w:tbl>
      <w:tblPr>
        <w:tblStyle w:val="33"/>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294"/>
        <w:gridCol w:w="901"/>
        <w:gridCol w:w="4168"/>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08" w:type="dxa"/>
            <w:vAlign w:val="center"/>
          </w:tcPr>
          <w:p>
            <w:pPr>
              <w:ind w:firstLine="28"/>
              <w:jc w:val="center"/>
              <w:rPr>
                <w:rFonts w:ascii="宋体" w:hAnsi="宋体" w:cs="宋体"/>
                <w:b/>
                <w:bCs/>
                <w:color w:val="000000"/>
                <w:sz w:val="24"/>
              </w:rPr>
            </w:pPr>
            <w:r>
              <w:rPr>
                <w:rFonts w:hint="eastAsia" w:ascii="宋体" w:hAnsi="宋体" w:cs="宋体"/>
                <w:b/>
                <w:bCs/>
                <w:color w:val="000000"/>
                <w:sz w:val="24"/>
              </w:rPr>
              <w:t>序号</w:t>
            </w:r>
          </w:p>
        </w:tc>
        <w:tc>
          <w:tcPr>
            <w:tcW w:w="1294" w:type="dxa"/>
            <w:vAlign w:val="center"/>
          </w:tcPr>
          <w:p>
            <w:pPr>
              <w:ind w:firstLine="28"/>
              <w:jc w:val="center"/>
              <w:rPr>
                <w:rFonts w:ascii="宋体" w:hAnsi="宋体" w:cs="宋体"/>
                <w:b/>
                <w:bCs/>
                <w:color w:val="000000"/>
                <w:sz w:val="24"/>
              </w:rPr>
            </w:pPr>
            <w:r>
              <w:rPr>
                <w:rFonts w:hint="eastAsia" w:ascii="宋体" w:hAnsi="宋体" w:cs="宋体"/>
                <w:b/>
                <w:bCs/>
                <w:color w:val="000000"/>
                <w:sz w:val="24"/>
              </w:rPr>
              <w:t>评分因素及价格权值</w:t>
            </w:r>
          </w:p>
        </w:tc>
        <w:tc>
          <w:tcPr>
            <w:tcW w:w="901" w:type="dxa"/>
            <w:vAlign w:val="center"/>
          </w:tcPr>
          <w:p>
            <w:pPr>
              <w:ind w:firstLine="28"/>
              <w:jc w:val="center"/>
              <w:rPr>
                <w:rFonts w:ascii="宋体" w:hAnsi="宋体" w:cs="宋体"/>
                <w:b/>
                <w:bCs/>
                <w:color w:val="000000"/>
                <w:sz w:val="24"/>
              </w:rPr>
            </w:pPr>
            <w:r>
              <w:rPr>
                <w:rFonts w:hint="eastAsia" w:ascii="宋体" w:hAnsi="宋体" w:cs="宋体"/>
                <w:b/>
                <w:bCs/>
                <w:color w:val="000000"/>
                <w:sz w:val="24"/>
              </w:rPr>
              <w:t>分　值</w:t>
            </w:r>
          </w:p>
        </w:tc>
        <w:tc>
          <w:tcPr>
            <w:tcW w:w="4168" w:type="dxa"/>
            <w:vAlign w:val="center"/>
          </w:tcPr>
          <w:p>
            <w:pPr>
              <w:ind w:firstLine="28"/>
              <w:jc w:val="center"/>
              <w:rPr>
                <w:rFonts w:ascii="宋体" w:hAnsi="宋体" w:cs="宋体"/>
                <w:b/>
                <w:bCs/>
                <w:color w:val="000000"/>
                <w:sz w:val="24"/>
              </w:rPr>
            </w:pPr>
            <w:r>
              <w:rPr>
                <w:rFonts w:hint="eastAsia" w:ascii="宋体" w:hAnsi="宋体" w:cs="宋体"/>
                <w:b/>
                <w:bCs/>
                <w:color w:val="000000"/>
                <w:sz w:val="24"/>
              </w:rPr>
              <w:t>评分标准</w:t>
            </w:r>
          </w:p>
        </w:tc>
        <w:tc>
          <w:tcPr>
            <w:tcW w:w="2296" w:type="dxa"/>
            <w:vAlign w:val="center"/>
          </w:tcPr>
          <w:p>
            <w:pPr>
              <w:jc w:val="center"/>
              <w:rPr>
                <w:rFonts w:ascii="宋体" w:hAnsi="宋体" w:cs="宋体"/>
                <w:b/>
                <w:bCs/>
                <w:color w:val="000000"/>
                <w:sz w:val="24"/>
              </w:rPr>
            </w:pPr>
            <w:r>
              <w:rPr>
                <w:rFonts w:hint="eastAsia" w:ascii="宋体" w:hAnsi="宋体" w:cs="宋体"/>
                <w:b/>
                <w:bCs/>
                <w:color w:val="00000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08"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1</w:t>
            </w:r>
          </w:p>
        </w:tc>
        <w:tc>
          <w:tcPr>
            <w:tcW w:w="1294"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报价10%</w:t>
            </w:r>
          </w:p>
        </w:tc>
        <w:tc>
          <w:tcPr>
            <w:tcW w:w="901"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10分</w:t>
            </w:r>
          </w:p>
        </w:tc>
        <w:tc>
          <w:tcPr>
            <w:tcW w:w="4168" w:type="dxa"/>
            <w:vAlign w:val="center"/>
          </w:tcPr>
          <w:p>
            <w:pPr>
              <w:spacing w:line="300" w:lineRule="exact"/>
              <w:ind w:firstLine="480" w:firstLineChars="200"/>
              <w:textAlignment w:val="center"/>
              <w:rPr>
                <w:rFonts w:ascii="宋体" w:hAnsi="宋体" w:cs="宋体"/>
                <w:color w:val="000000"/>
                <w:sz w:val="24"/>
              </w:rPr>
            </w:pPr>
            <w:r>
              <w:rPr>
                <w:rFonts w:hint="eastAsia" w:ascii="宋体" w:hAnsi="宋体" w:cs="宋体"/>
                <w:color w:val="000000"/>
                <w:sz w:val="24"/>
              </w:rPr>
              <w:t>综合评分法中的价格分统一采用低价优先法计算，即满足招标文件要求且投标价格最低的投标报价为评标基准价，其价格分为满分。其他供应商的价格分统一按照下列公式计算：</w:t>
            </w:r>
          </w:p>
          <w:p>
            <w:pPr>
              <w:spacing w:line="300" w:lineRule="exact"/>
              <w:rPr>
                <w:rFonts w:ascii="宋体" w:hAnsi="宋体" w:cs="宋体"/>
                <w:color w:val="000000"/>
                <w:sz w:val="24"/>
              </w:rPr>
            </w:pPr>
            <w:r>
              <w:rPr>
                <w:rFonts w:hint="eastAsia" w:ascii="宋体" w:hAnsi="宋体" w:cs="宋体"/>
                <w:color w:val="000000"/>
                <w:sz w:val="24"/>
              </w:rPr>
              <w:t>投标报价得分=(评标基准价／投标报价)×价格权值×100</w:t>
            </w:r>
          </w:p>
        </w:tc>
        <w:tc>
          <w:tcPr>
            <w:tcW w:w="2296" w:type="dxa"/>
            <w:vAlign w:val="center"/>
          </w:tcPr>
          <w:p>
            <w:pPr>
              <w:spacing w:line="300" w:lineRule="exact"/>
              <w:ind w:left="-38"/>
              <w:jc w:val="left"/>
              <w:rPr>
                <w:rFonts w:ascii="宋体" w:hAnsi="宋体" w:cs="宋体"/>
                <w:color w:val="000000"/>
                <w:sz w:val="24"/>
              </w:rPr>
            </w:pPr>
            <w:r>
              <w:rPr>
                <w:rFonts w:hint="eastAsia" w:ascii="宋体" w:hAnsi="宋体" w:cs="宋体"/>
                <w:color w:val="000000"/>
                <w:sz w:val="24"/>
              </w:rPr>
              <w:t>报价以开标一览表为准，享受政府采购优惠政策进行价格扣除的按照本招标文件供应商须知前附表规定执行，得分四舍五入保留至小数点后两位。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trPr>
        <w:tc>
          <w:tcPr>
            <w:tcW w:w="408"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w:t>
            </w:r>
          </w:p>
        </w:tc>
        <w:tc>
          <w:tcPr>
            <w:tcW w:w="1294"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技术和服务要求36%</w:t>
            </w:r>
          </w:p>
        </w:tc>
        <w:tc>
          <w:tcPr>
            <w:tcW w:w="901"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36分</w:t>
            </w:r>
          </w:p>
        </w:tc>
        <w:tc>
          <w:tcPr>
            <w:tcW w:w="4168" w:type="dxa"/>
            <w:vAlign w:val="center"/>
          </w:tcPr>
          <w:p>
            <w:pPr>
              <w:spacing w:line="300" w:lineRule="exact"/>
              <w:ind w:firstLine="480" w:firstLineChars="200"/>
              <w:textAlignment w:val="center"/>
              <w:rPr>
                <w:rFonts w:ascii="宋体" w:hAnsi="宋体" w:cs="宋体"/>
                <w:sz w:val="24"/>
              </w:rPr>
            </w:pPr>
            <w:r>
              <w:rPr>
                <w:rFonts w:hint="eastAsia" w:ascii="宋体" w:hAnsi="宋体" w:cs="宋体"/>
                <w:sz w:val="24"/>
              </w:rPr>
              <w:t>完全符合招标项目技术、商务及其他要求没有负偏离得</w:t>
            </w:r>
            <w:r>
              <w:rPr>
                <w:rFonts w:hint="eastAsia" w:ascii="宋体" w:hAnsi="宋体" w:cs="宋体"/>
                <w:color w:val="000000"/>
                <w:sz w:val="24"/>
              </w:rPr>
              <w:t>36</w:t>
            </w:r>
            <w:r>
              <w:rPr>
                <w:rFonts w:hint="eastAsia" w:ascii="宋体" w:hAnsi="宋体" w:cs="宋体"/>
                <w:sz w:val="24"/>
              </w:rPr>
              <w:t>分；存在负偏离的，与招标文件要求有“</w:t>
            </w:r>
            <w:r>
              <w:rPr>
                <w:rFonts w:hint="eastAsia" w:ascii="宋体" w:hAnsi="宋体" w:cs="宋体"/>
                <w:bCs/>
                <w:sz w:val="24"/>
              </w:rPr>
              <w:t>▲</w:t>
            </w:r>
            <w:r>
              <w:rPr>
                <w:rFonts w:hint="eastAsia" w:ascii="宋体" w:hAnsi="宋体" w:cs="宋体"/>
                <w:sz w:val="24"/>
              </w:rPr>
              <w:t>”号条款的负偏离每一项扣6分，其余条款每负偏离一项扣2分，本项最多扣</w:t>
            </w:r>
            <w:r>
              <w:rPr>
                <w:rFonts w:hint="eastAsia" w:ascii="宋体" w:hAnsi="宋体" w:cs="宋体"/>
                <w:color w:val="000000"/>
                <w:sz w:val="24"/>
              </w:rPr>
              <w:t>36</w:t>
            </w:r>
            <w:r>
              <w:rPr>
                <w:rFonts w:hint="eastAsia" w:ascii="宋体" w:hAnsi="宋体" w:cs="宋体"/>
                <w:sz w:val="24"/>
              </w:rPr>
              <w:t>分。</w:t>
            </w:r>
          </w:p>
        </w:tc>
        <w:tc>
          <w:tcPr>
            <w:tcW w:w="2296" w:type="dxa"/>
            <w:vAlign w:val="center"/>
          </w:tcPr>
          <w:p>
            <w:pPr>
              <w:spacing w:line="300" w:lineRule="exact"/>
              <w:ind w:left="-38"/>
              <w:jc w:val="left"/>
              <w:rPr>
                <w:rFonts w:ascii="宋体" w:hAnsi="宋体" w:cs="宋体"/>
                <w:color w:val="000000"/>
                <w:sz w:val="24"/>
              </w:rPr>
            </w:pPr>
            <w:r>
              <w:rPr>
                <w:rFonts w:hint="eastAsia" w:ascii="宋体" w:hAnsi="宋体" w:cs="宋体"/>
                <w:color w:val="000000"/>
                <w:sz w:val="24"/>
              </w:rPr>
              <w:t>以招标文件技术要求及投标文件的应答为准。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408" w:type="dxa"/>
            <w:vMerge w:val="restart"/>
            <w:vAlign w:val="center"/>
          </w:tcPr>
          <w:p>
            <w:pPr>
              <w:spacing w:line="400" w:lineRule="exact"/>
              <w:jc w:val="center"/>
              <w:rPr>
                <w:rFonts w:ascii="宋体" w:hAnsi="宋体" w:cs="宋体"/>
                <w:color w:val="000000"/>
                <w:sz w:val="24"/>
              </w:rPr>
            </w:pPr>
            <w:r>
              <w:rPr>
                <w:rFonts w:hint="eastAsia" w:ascii="宋体" w:hAnsi="宋体" w:cs="宋体"/>
                <w:color w:val="000000"/>
                <w:sz w:val="24"/>
              </w:rPr>
              <w:t>3</w:t>
            </w:r>
          </w:p>
        </w:tc>
        <w:tc>
          <w:tcPr>
            <w:tcW w:w="1294" w:type="dxa"/>
            <w:vMerge w:val="restart"/>
            <w:vAlign w:val="center"/>
          </w:tcPr>
          <w:p>
            <w:pPr>
              <w:pStyle w:val="13"/>
              <w:jc w:val="center"/>
              <w:rPr>
                <w:rFonts w:ascii="宋体" w:hAnsi="宋体" w:cs="宋体"/>
                <w:sz w:val="24"/>
              </w:rPr>
            </w:pPr>
            <w:r>
              <w:rPr>
                <w:rFonts w:hint="eastAsia" w:ascii="宋体" w:hAnsi="宋体" w:cs="宋体"/>
                <w:sz w:val="24"/>
              </w:rPr>
              <w:t>技术服务能力</w:t>
            </w:r>
          </w:p>
          <w:p>
            <w:pPr>
              <w:pStyle w:val="13"/>
              <w:jc w:val="center"/>
              <w:rPr>
                <w:rFonts w:ascii="宋体" w:hAnsi="宋体" w:cs="宋体"/>
                <w:sz w:val="24"/>
              </w:rPr>
            </w:pPr>
            <w:r>
              <w:rPr>
                <w:rFonts w:hint="eastAsia" w:ascii="宋体" w:hAnsi="宋体" w:cs="宋体"/>
                <w:sz w:val="24"/>
              </w:rPr>
              <w:t>16%</w:t>
            </w:r>
          </w:p>
        </w:tc>
        <w:tc>
          <w:tcPr>
            <w:tcW w:w="901" w:type="dxa"/>
            <w:vMerge w:val="restart"/>
            <w:vAlign w:val="center"/>
          </w:tcPr>
          <w:p>
            <w:pPr>
              <w:spacing w:line="300" w:lineRule="exact"/>
              <w:jc w:val="center"/>
              <w:rPr>
                <w:rFonts w:ascii="宋体" w:hAnsi="宋体" w:cs="宋体"/>
                <w:color w:val="000000"/>
                <w:sz w:val="24"/>
              </w:rPr>
            </w:pPr>
            <w:r>
              <w:rPr>
                <w:rFonts w:hint="eastAsia" w:ascii="宋体" w:hAnsi="宋体" w:cs="宋体"/>
                <w:color w:val="000000"/>
                <w:sz w:val="24"/>
              </w:rPr>
              <w:t>16分</w:t>
            </w:r>
          </w:p>
        </w:tc>
        <w:tc>
          <w:tcPr>
            <w:tcW w:w="4168" w:type="dxa"/>
            <w:vAlign w:val="center"/>
          </w:tcPr>
          <w:p>
            <w:pPr>
              <w:spacing w:line="300" w:lineRule="exact"/>
              <w:ind w:firstLine="480" w:firstLineChars="200"/>
              <w:textAlignment w:val="center"/>
            </w:pPr>
            <w:r>
              <w:rPr>
                <w:rFonts w:hint="eastAsia" w:ascii="宋体" w:hAnsi="宋体" w:cs="宋体"/>
                <w:sz w:val="24"/>
              </w:rPr>
              <w:t>驻场人员资质要求：投标人所委派的驻场人员需取得国家颁发的高级电工证书（提供≥1名高级电工证书复印件得3分，少提供或不提供不得分）。</w:t>
            </w:r>
            <w:r>
              <w:rPr>
                <w:rFonts w:hint="eastAsia"/>
              </w:rPr>
              <w:t xml:space="preserve">    </w:t>
            </w:r>
          </w:p>
        </w:tc>
        <w:tc>
          <w:tcPr>
            <w:tcW w:w="2296" w:type="dxa"/>
            <w:vAlign w:val="center"/>
          </w:tcPr>
          <w:p>
            <w:pPr>
              <w:spacing w:line="300" w:lineRule="exact"/>
              <w:ind w:left="-38"/>
              <w:jc w:val="left"/>
              <w:rPr>
                <w:rFonts w:ascii="宋体" w:hAnsi="宋体" w:cs="宋体"/>
                <w:color w:val="000000"/>
                <w:sz w:val="24"/>
              </w:rPr>
            </w:pPr>
            <w:r>
              <w:rPr>
                <w:rFonts w:hint="eastAsia" w:ascii="宋体" w:hAnsi="宋体" w:cs="宋体"/>
                <w:color w:val="000000"/>
                <w:sz w:val="24"/>
              </w:rPr>
              <w:t>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408" w:type="dxa"/>
            <w:vMerge w:val="continue"/>
            <w:vAlign w:val="center"/>
          </w:tcPr>
          <w:p>
            <w:pPr>
              <w:spacing w:line="400" w:lineRule="exact"/>
              <w:jc w:val="center"/>
              <w:rPr>
                <w:rFonts w:ascii="宋体" w:hAnsi="宋体" w:cs="宋体"/>
                <w:color w:val="000000"/>
                <w:sz w:val="24"/>
              </w:rPr>
            </w:pPr>
          </w:p>
        </w:tc>
        <w:tc>
          <w:tcPr>
            <w:tcW w:w="1294" w:type="dxa"/>
            <w:vMerge w:val="continue"/>
            <w:vAlign w:val="center"/>
          </w:tcPr>
          <w:p>
            <w:pPr>
              <w:pStyle w:val="13"/>
              <w:jc w:val="center"/>
              <w:rPr>
                <w:rFonts w:ascii="宋体" w:hAnsi="宋体" w:cs="宋体"/>
                <w:sz w:val="24"/>
              </w:rPr>
            </w:pPr>
          </w:p>
        </w:tc>
        <w:tc>
          <w:tcPr>
            <w:tcW w:w="901" w:type="dxa"/>
            <w:vMerge w:val="continue"/>
            <w:vAlign w:val="center"/>
          </w:tcPr>
          <w:p>
            <w:pPr>
              <w:spacing w:line="300" w:lineRule="exact"/>
              <w:jc w:val="center"/>
              <w:rPr>
                <w:rFonts w:ascii="宋体" w:hAnsi="宋体" w:cs="宋体"/>
                <w:color w:val="000000"/>
                <w:sz w:val="24"/>
              </w:rPr>
            </w:pPr>
          </w:p>
        </w:tc>
        <w:tc>
          <w:tcPr>
            <w:tcW w:w="4168" w:type="dxa"/>
            <w:vAlign w:val="center"/>
          </w:tcPr>
          <w:p>
            <w:pPr>
              <w:spacing w:line="300" w:lineRule="exact"/>
              <w:ind w:firstLine="480" w:firstLineChars="200"/>
              <w:textAlignment w:val="center"/>
              <w:rPr>
                <w:rFonts w:ascii="宋体" w:hAnsi="宋体" w:cs="宋体"/>
                <w:sz w:val="24"/>
              </w:rPr>
            </w:pPr>
            <w:r>
              <w:rPr>
                <w:rFonts w:hint="eastAsia" w:ascii="宋体" w:hAnsi="宋体" w:cs="宋体"/>
                <w:sz w:val="24"/>
              </w:rPr>
              <w:t>普通维修人员资质要求：投标人需提供医疗器械维修工程师资质（提供≥2名以上医疗器械维修师资质证明文件得3分，少提供或不提供不得分）。</w:t>
            </w:r>
          </w:p>
        </w:tc>
        <w:tc>
          <w:tcPr>
            <w:tcW w:w="2296" w:type="dxa"/>
            <w:vAlign w:val="center"/>
          </w:tcPr>
          <w:p>
            <w:pPr>
              <w:spacing w:line="300" w:lineRule="exact"/>
              <w:ind w:left="-38"/>
              <w:jc w:val="left"/>
              <w:rPr>
                <w:rFonts w:ascii="宋体" w:hAnsi="宋体" w:cs="宋体"/>
                <w:color w:val="000000"/>
                <w:sz w:val="24"/>
              </w:rPr>
            </w:pPr>
            <w:r>
              <w:rPr>
                <w:rFonts w:hint="eastAsia" w:ascii="宋体" w:hAnsi="宋体" w:cs="宋体"/>
                <w:color w:val="000000"/>
                <w:sz w:val="24"/>
              </w:rPr>
              <w:t>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408" w:type="dxa"/>
            <w:vMerge w:val="continue"/>
            <w:vAlign w:val="center"/>
          </w:tcPr>
          <w:p>
            <w:pPr>
              <w:spacing w:line="400" w:lineRule="exact"/>
              <w:jc w:val="center"/>
              <w:rPr>
                <w:rFonts w:ascii="宋体" w:hAnsi="宋体" w:cs="宋体"/>
                <w:color w:val="000000"/>
                <w:sz w:val="24"/>
              </w:rPr>
            </w:pPr>
          </w:p>
        </w:tc>
        <w:tc>
          <w:tcPr>
            <w:tcW w:w="1294" w:type="dxa"/>
            <w:vMerge w:val="continue"/>
            <w:vAlign w:val="center"/>
          </w:tcPr>
          <w:p>
            <w:pPr>
              <w:pStyle w:val="13"/>
              <w:jc w:val="center"/>
              <w:rPr>
                <w:rFonts w:ascii="宋体" w:hAnsi="宋体" w:cs="宋体"/>
                <w:sz w:val="24"/>
              </w:rPr>
            </w:pPr>
          </w:p>
        </w:tc>
        <w:tc>
          <w:tcPr>
            <w:tcW w:w="901" w:type="dxa"/>
            <w:vMerge w:val="continue"/>
            <w:vAlign w:val="center"/>
          </w:tcPr>
          <w:p>
            <w:pPr>
              <w:spacing w:line="300" w:lineRule="exact"/>
              <w:jc w:val="center"/>
              <w:rPr>
                <w:rFonts w:ascii="宋体" w:hAnsi="宋体" w:cs="宋体"/>
                <w:color w:val="000000"/>
                <w:sz w:val="24"/>
              </w:rPr>
            </w:pPr>
          </w:p>
        </w:tc>
        <w:tc>
          <w:tcPr>
            <w:tcW w:w="4168" w:type="dxa"/>
            <w:vAlign w:val="center"/>
          </w:tcPr>
          <w:p>
            <w:pPr>
              <w:spacing w:line="300" w:lineRule="exact"/>
              <w:ind w:firstLine="480" w:firstLineChars="200"/>
              <w:textAlignment w:val="center"/>
              <w:rPr>
                <w:rFonts w:ascii="宋体" w:hAnsi="宋体" w:cs="宋体"/>
                <w:sz w:val="24"/>
              </w:rPr>
            </w:pPr>
            <w:r>
              <w:rPr>
                <w:rFonts w:hint="eastAsia" w:ascii="宋体" w:hAnsi="宋体" w:cs="宋体"/>
                <w:sz w:val="24"/>
              </w:rPr>
              <w:t>超声类工程师资质要求：投标人需提供经过授权厂家培训的工程师资质文件（提供≥15名经过超声类设备授权厂家培训所颁发的服务工程师资质证明文件得5分，少提供或不提供不得分）</w:t>
            </w:r>
          </w:p>
        </w:tc>
        <w:tc>
          <w:tcPr>
            <w:tcW w:w="2296" w:type="dxa"/>
            <w:vAlign w:val="center"/>
          </w:tcPr>
          <w:p>
            <w:pPr>
              <w:spacing w:line="300" w:lineRule="exact"/>
              <w:ind w:left="-38"/>
              <w:jc w:val="left"/>
              <w:rPr>
                <w:rFonts w:ascii="宋体" w:hAnsi="宋体" w:cs="宋体"/>
                <w:color w:val="000000"/>
                <w:sz w:val="24"/>
              </w:rPr>
            </w:pPr>
            <w:r>
              <w:rPr>
                <w:rFonts w:hint="eastAsia" w:ascii="宋体" w:hAnsi="宋体" w:cs="宋体"/>
                <w:color w:val="000000"/>
                <w:sz w:val="24"/>
              </w:rPr>
              <w:t>必须提供全院设备清单中任一超声厂家的培训证书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408" w:type="dxa"/>
            <w:vMerge w:val="continue"/>
            <w:vAlign w:val="center"/>
          </w:tcPr>
          <w:p>
            <w:pPr>
              <w:spacing w:line="400" w:lineRule="exact"/>
              <w:jc w:val="center"/>
              <w:rPr>
                <w:rFonts w:ascii="宋体" w:hAnsi="宋体" w:cs="宋体"/>
                <w:color w:val="000000"/>
                <w:sz w:val="24"/>
              </w:rPr>
            </w:pPr>
          </w:p>
        </w:tc>
        <w:tc>
          <w:tcPr>
            <w:tcW w:w="1294" w:type="dxa"/>
            <w:vMerge w:val="continue"/>
            <w:vAlign w:val="center"/>
          </w:tcPr>
          <w:p>
            <w:pPr>
              <w:pStyle w:val="13"/>
              <w:jc w:val="center"/>
              <w:rPr>
                <w:rFonts w:ascii="宋体" w:hAnsi="宋体" w:cs="宋体"/>
                <w:sz w:val="24"/>
              </w:rPr>
            </w:pPr>
          </w:p>
        </w:tc>
        <w:tc>
          <w:tcPr>
            <w:tcW w:w="901" w:type="dxa"/>
            <w:vMerge w:val="continue"/>
            <w:vAlign w:val="center"/>
          </w:tcPr>
          <w:p>
            <w:pPr>
              <w:spacing w:line="300" w:lineRule="exact"/>
              <w:jc w:val="center"/>
              <w:rPr>
                <w:rFonts w:ascii="宋体" w:hAnsi="宋体" w:cs="宋体"/>
                <w:color w:val="000000"/>
                <w:sz w:val="24"/>
              </w:rPr>
            </w:pPr>
          </w:p>
        </w:tc>
        <w:tc>
          <w:tcPr>
            <w:tcW w:w="4168" w:type="dxa"/>
            <w:vAlign w:val="center"/>
          </w:tcPr>
          <w:p>
            <w:pPr>
              <w:spacing w:line="300" w:lineRule="exact"/>
              <w:ind w:firstLine="480" w:firstLineChars="200"/>
              <w:textAlignment w:val="center"/>
              <w:rPr>
                <w:rFonts w:ascii="宋体" w:hAnsi="宋体" w:cs="宋体"/>
                <w:sz w:val="24"/>
              </w:rPr>
            </w:pPr>
            <w:r>
              <w:rPr>
                <w:rFonts w:hint="eastAsia" w:ascii="宋体" w:hAnsi="宋体" w:cs="宋体"/>
                <w:sz w:val="24"/>
              </w:rPr>
              <w:t>监护类工程师资质要求：投标人需提供经过授权厂家培训的工程师资质文件（提供≥10名经过监护类设备授权厂家培训所颁发的服务工程师资质证明文件得5分，少提供或不提供不得分）</w:t>
            </w:r>
          </w:p>
        </w:tc>
        <w:tc>
          <w:tcPr>
            <w:tcW w:w="2296" w:type="dxa"/>
            <w:vAlign w:val="center"/>
          </w:tcPr>
          <w:p>
            <w:pPr>
              <w:spacing w:line="300" w:lineRule="exact"/>
              <w:ind w:left="-38"/>
              <w:jc w:val="left"/>
              <w:rPr>
                <w:rFonts w:ascii="宋体" w:hAnsi="宋体" w:cs="宋体"/>
                <w:color w:val="000000"/>
                <w:sz w:val="24"/>
              </w:rPr>
            </w:pPr>
            <w:r>
              <w:rPr>
                <w:rFonts w:hint="eastAsia" w:ascii="宋体" w:hAnsi="宋体" w:cs="宋体"/>
                <w:color w:val="000000"/>
                <w:sz w:val="24"/>
              </w:rPr>
              <w:t>必须提供全院设备清单中任一监护厂家的培训证书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408" w:type="dxa"/>
            <w:vMerge w:val="restart"/>
            <w:vAlign w:val="center"/>
          </w:tcPr>
          <w:p>
            <w:pPr>
              <w:spacing w:line="400" w:lineRule="exact"/>
              <w:jc w:val="center"/>
              <w:rPr>
                <w:rFonts w:ascii="宋体" w:hAnsi="宋体" w:cs="宋体"/>
                <w:color w:val="000000"/>
                <w:sz w:val="24"/>
              </w:rPr>
            </w:pPr>
            <w:r>
              <w:rPr>
                <w:rFonts w:hint="eastAsia" w:ascii="宋体" w:hAnsi="宋体" w:cs="宋体"/>
                <w:color w:val="000000"/>
                <w:sz w:val="24"/>
              </w:rPr>
              <w:t>5</w:t>
            </w:r>
          </w:p>
        </w:tc>
        <w:tc>
          <w:tcPr>
            <w:tcW w:w="1294" w:type="dxa"/>
            <w:vMerge w:val="restart"/>
            <w:vAlign w:val="center"/>
          </w:tcPr>
          <w:p>
            <w:pPr>
              <w:spacing w:line="300" w:lineRule="exact"/>
              <w:jc w:val="center"/>
              <w:rPr>
                <w:rFonts w:ascii="宋体" w:hAnsi="宋体" w:cs="宋体"/>
                <w:color w:val="000000"/>
                <w:sz w:val="24"/>
              </w:rPr>
            </w:pPr>
            <w:r>
              <w:rPr>
                <w:rFonts w:hint="eastAsia" w:ascii="宋体" w:hAnsi="宋体" w:cs="宋体"/>
                <w:color w:val="000000"/>
                <w:sz w:val="24"/>
              </w:rPr>
              <w:t>服务方案32%</w:t>
            </w:r>
          </w:p>
        </w:tc>
        <w:tc>
          <w:tcPr>
            <w:tcW w:w="901" w:type="dxa"/>
            <w:vMerge w:val="restart"/>
            <w:vAlign w:val="center"/>
          </w:tcPr>
          <w:p>
            <w:pPr>
              <w:spacing w:line="300" w:lineRule="exact"/>
              <w:jc w:val="center"/>
              <w:rPr>
                <w:rFonts w:ascii="宋体" w:hAnsi="宋体" w:cs="宋体"/>
                <w:color w:val="000000"/>
                <w:sz w:val="24"/>
              </w:rPr>
            </w:pPr>
            <w:r>
              <w:rPr>
                <w:rFonts w:hint="eastAsia" w:ascii="宋体" w:hAnsi="宋体" w:cs="宋体"/>
                <w:color w:val="000000"/>
                <w:sz w:val="24"/>
              </w:rPr>
              <w:t>32分</w:t>
            </w:r>
          </w:p>
        </w:tc>
        <w:tc>
          <w:tcPr>
            <w:tcW w:w="4168" w:type="dxa"/>
            <w:vAlign w:val="center"/>
          </w:tcPr>
          <w:p>
            <w:pPr>
              <w:widowControl/>
              <w:rPr>
                <w:rFonts w:ascii="宋体" w:hAnsi="宋体" w:cs="宋体"/>
                <w:sz w:val="24"/>
              </w:rPr>
            </w:pPr>
            <w:r>
              <w:rPr>
                <w:rFonts w:hint="eastAsia" w:ascii="宋体" w:hAnsi="宋体" w:cs="宋体"/>
                <w:sz w:val="24"/>
              </w:rPr>
              <w:t>提供至少三个关键设备类别服务方案，（包括放射、超声、生命支持）完全满足上述要求的得8分，上述要求少一项扣4分，扣完为止。</w:t>
            </w:r>
          </w:p>
        </w:tc>
        <w:tc>
          <w:tcPr>
            <w:tcW w:w="2296" w:type="dxa"/>
            <w:vMerge w:val="restart"/>
            <w:vAlign w:val="center"/>
          </w:tcPr>
          <w:p>
            <w:pPr>
              <w:spacing w:line="300" w:lineRule="exact"/>
              <w:jc w:val="left"/>
              <w:rPr>
                <w:rFonts w:ascii="宋体" w:hAnsi="宋体" w:cs="宋体"/>
                <w:color w:val="000000"/>
                <w:sz w:val="24"/>
              </w:rPr>
            </w:pPr>
            <w:r>
              <w:rPr>
                <w:rFonts w:hint="eastAsia" w:ascii="宋体" w:hAnsi="宋体" w:cs="宋体"/>
                <w:color w:val="000000"/>
                <w:sz w:val="24"/>
              </w:rPr>
              <w:t>以投标文件中服务方案为准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408" w:type="dxa"/>
            <w:vMerge w:val="continue"/>
            <w:vAlign w:val="center"/>
          </w:tcPr>
          <w:p>
            <w:pPr>
              <w:spacing w:line="400" w:lineRule="exact"/>
              <w:jc w:val="center"/>
              <w:rPr>
                <w:rFonts w:ascii="宋体" w:hAnsi="宋体" w:cs="宋体"/>
                <w:color w:val="000000"/>
                <w:sz w:val="24"/>
              </w:rPr>
            </w:pPr>
          </w:p>
        </w:tc>
        <w:tc>
          <w:tcPr>
            <w:tcW w:w="1294" w:type="dxa"/>
            <w:vMerge w:val="continue"/>
            <w:vAlign w:val="center"/>
          </w:tcPr>
          <w:p>
            <w:pPr>
              <w:spacing w:line="300" w:lineRule="exact"/>
              <w:jc w:val="center"/>
              <w:rPr>
                <w:rFonts w:ascii="宋体" w:hAnsi="宋体" w:cs="宋体"/>
                <w:color w:val="000000"/>
                <w:sz w:val="24"/>
              </w:rPr>
            </w:pPr>
          </w:p>
        </w:tc>
        <w:tc>
          <w:tcPr>
            <w:tcW w:w="901" w:type="dxa"/>
            <w:vMerge w:val="continue"/>
            <w:vAlign w:val="center"/>
          </w:tcPr>
          <w:p>
            <w:pPr>
              <w:spacing w:line="300" w:lineRule="exact"/>
              <w:jc w:val="center"/>
              <w:rPr>
                <w:rFonts w:ascii="宋体" w:hAnsi="宋体" w:cs="宋体"/>
                <w:color w:val="000000"/>
                <w:sz w:val="24"/>
              </w:rPr>
            </w:pPr>
          </w:p>
        </w:tc>
        <w:tc>
          <w:tcPr>
            <w:tcW w:w="4168" w:type="dxa"/>
            <w:vAlign w:val="center"/>
          </w:tcPr>
          <w:p>
            <w:pPr>
              <w:widowControl/>
              <w:rPr>
                <w:rFonts w:ascii="宋体" w:hAnsi="宋体" w:cs="宋体"/>
                <w:sz w:val="24"/>
              </w:rPr>
            </w:pPr>
            <w:r>
              <w:rPr>
                <w:rFonts w:hint="eastAsia" w:ascii="宋体" w:hAnsi="宋体" w:cs="宋体"/>
                <w:sz w:val="24"/>
              </w:rPr>
              <w:t>放射设备服务方案。提供总体服务方案和至少一个关键设备实施方案。总体服务方案包含但不限于日常、月度、季度、年度维保整体方案。实施方案包含但不限于电气安全维护方案、影像校准维护方案。完全满足以上条件得8分，少一项扣2分，扣完为止。</w:t>
            </w:r>
          </w:p>
        </w:tc>
        <w:tc>
          <w:tcPr>
            <w:tcW w:w="2296" w:type="dxa"/>
            <w:vMerge w:val="continue"/>
            <w:vAlign w:val="center"/>
          </w:tcPr>
          <w:p>
            <w:pPr>
              <w:spacing w:line="3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408" w:type="dxa"/>
            <w:vMerge w:val="continue"/>
            <w:vAlign w:val="center"/>
          </w:tcPr>
          <w:p>
            <w:pPr>
              <w:spacing w:line="400" w:lineRule="exact"/>
              <w:jc w:val="center"/>
              <w:rPr>
                <w:rFonts w:ascii="宋体" w:hAnsi="宋体" w:cs="宋体"/>
                <w:color w:val="000000"/>
                <w:sz w:val="24"/>
              </w:rPr>
            </w:pPr>
          </w:p>
        </w:tc>
        <w:tc>
          <w:tcPr>
            <w:tcW w:w="1294" w:type="dxa"/>
            <w:vMerge w:val="continue"/>
            <w:vAlign w:val="center"/>
          </w:tcPr>
          <w:p>
            <w:pPr>
              <w:spacing w:line="300" w:lineRule="exact"/>
              <w:jc w:val="center"/>
              <w:rPr>
                <w:rFonts w:ascii="宋体" w:hAnsi="宋体" w:cs="宋体"/>
                <w:color w:val="000000"/>
                <w:sz w:val="24"/>
              </w:rPr>
            </w:pPr>
          </w:p>
        </w:tc>
        <w:tc>
          <w:tcPr>
            <w:tcW w:w="901" w:type="dxa"/>
            <w:vMerge w:val="continue"/>
            <w:vAlign w:val="center"/>
          </w:tcPr>
          <w:p>
            <w:pPr>
              <w:spacing w:line="300" w:lineRule="exact"/>
              <w:jc w:val="center"/>
              <w:rPr>
                <w:rFonts w:ascii="宋体" w:hAnsi="宋体" w:cs="宋体"/>
                <w:color w:val="000000"/>
                <w:sz w:val="24"/>
              </w:rPr>
            </w:pPr>
          </w:p>
        </w:tc>
        <w:tc>
          <w:tcPr>
            <w:tcW w:w="4168" w:type="dxa"/>
            <w:vAlign w:val="center"/>
          </w:tcPr>
          <w:p>
            <w:pPr>
              <w:pStyle w:val="13"/>
              <w:spacing w:before="121" w:beforeLines="39" w:after="0"/>
              <w:rPr>
                <w:rFonts w:ascii="宋体" w:hAnsi="宋体" w:cs="宋体"/>
                <w:sz w:val="24"/>
              </w:rPr>
            </w:pPr>
            <w:r>
              <w:rPr>
                <w:rFonts w:hint="eastAsia" w:ascii="宋体" w:hAnsi="宋体" w:cs="宋体"/>
                <w:sz w:val="24"/>
              </w:rPr>
              <w:t>超声设备服务方案。提供总体服务方案和设备具体实施方案。总体服务方案包含但不限于日常、月度、季度、年度维保整体方案。实施方案必须包含实施流程方法、实施具体内容、维保人员配置及分工。完全满足以上条件得8分，少一项扣2分，扣完为止。</w:t>
            </w:r>
          </w:p>
        </w:tc>
        <w:tc>
          <w:tcPr>
            <w:tcW w:w="2296" w:type="dxa"/>
            <w:vMerge w:val="continue"/>
            <w:vAlign w:val="center"/>
          </w:tcPr>
          <w:p>
            <w:pPr>
              <w:spacing w:line="3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408" w:type="dxa"/>
            <w:vMerge w:val="continue"/>
            <w:vAlign w:val="center"/>
          </w:tcPr>
          <w:p>
            <w:pPr>
              <w:spacing w:line="400" w:lineRule="exact"/>
              <w:jc w:val="center"/>
              <w:rPr>
                <w:rFonts w:ascii="宋体" w:hAnsi="宋体" w:cs="宋体"/>
                <w:color w:val="000000"/>
                <w:sz w:val="24"/>
              </w:rPr>
            </w:pPr>
          </w:p>
        </w:tc>
        <w:tc>
          <w:tcPr>
            <w:tcW w:w="1294" w:type="dxa"/>
            <w:vMerge w:val="continue"/>
            <w:vAlign w:val="center"/>
          </w:tcPr>
          <w:p>
            <w:pPr>
              <w:spacing w:line="300" w:lineRule="exact"/>
              <w:jc w:val="center"/>
              <w:rPr>
                <w:rFonts w:ascii="宋体" w:hAnsi="宋体" w:cs="宋体"/>
                <w:color w:val="000000"/>
                <w:sz w:val="24"/>
              </w:rPr>
            </w:pPr>
          </w:p>
        </w:tc>
        <w:tc>
          <w:tcPr>
            <w:tcW w:w="901" w:type="dxa"/>
            <w:vMerge w:val="continue"/>
            <w:vAlign w:val="center"/>
          </w:tcPr>
          <w:p>
            <w:pPr>
              <w:spacing w:line="300" w:lineRule="exact"/>
              <w:jc w:val="center"/>
              <w:rPr>
                <w:rFonts w:ascii="宋体" w:hAnsi="宋体" w:cs="宋体"/>
                <w:color w:val="000000"/>
                <w:sz w:val="24"/>
              </w:rPr>
            </w:pPr>
          </w:p>
        </w:tc>
        <w:tc>
          <w:tcPr>
            <w:tcW w:w="4168" w:type="dxa"/>
            <w:vAlign w:val="center"/>
          </w:tcPr>
          <w:p>
            <w:pPr>
              <w:pStyle w:val="13"/>
              <w:spacing w:after="0"/>
              <w:rPr>
                <w:rFonts w:ascii="宋体" w:hAnsi="宋体" w:cs="宋体"/>
                <w:sz w:val="24"/>
              </w:rPr>
            </w:pPr>
            <w:r>
              <w:rPr>
                <w:rFonts w:hint="eastAsia" w:ascii="宋体" w:hAnsi="宋体" w:cs="宋体"/>
                <w:sz w:val="24"/>
              </w:rPr>
              <w:t>生命支持设备服务方案。提供总体服务方案和设备具体实施方案。总体服务方案包含但不限于日常、月度、季度、年度维保整体方案。实施方案必须包含实施流程方法、实施具体内容、维保人员配置及分工。完全满足以上条件得8分，少一项扣2分，扣完为止。</w:t>
            </w:r>
          </w:p>
        </w:tc>
        <w:tc>
          <w:tcPr>
            <w:tcW w:w="2296" w:type="dxa"/>
            <w:vMerge w:val="continue"/>
            <w:vAlign w:val="center"/>
          </w:tcPr>
          <w:p>
            <w:pPr>
              <w:spacing w:line="300" w:lineRule="exact"/>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08" w:type="dxa"/>
            <w:vAlign w:val="center"/>
          </w:tcPr>
          <w:p>
            <w:pPr>
              <w:spacing w:line="340" w:lineRule="exact"/>
              <w:jc w:val="center"/>
              <w:rPr>
                <w:rFonts w:ascii="宋体" w:hAnsi="宋体" w:cs="宋体"/>
                <w:color w:val="000000"/>
                <w:sz w:val="24"/>
              </w:rPr>
            </w:pPr>
            <w:r>
              <w:rPr>
                <w:rFonts w:hint="eastAsia" w:ascii="宋体" w:hAnsi="宋体" w:cs="宋体"/>
                <w:color w:val="000000"/>
                <w:sz w:val="24"/>
              </w:rPr>
              <w:t>5</w:t>
            </w:r>
          </w:p>
        </w:tc>
        <w:tc>
          <w:tcPr>
            <w:tcW w:w="1294"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履约能力5%</w:t>
            </w:r>
          </w:p>
        </w:tc>
        <w:tc>
          <w:tcPr>
            <w:tcW w:w="901" w:type="dxa"/>
            <w:vAlign w:val="center"/>
          </w:tcPr>
          <w:p>
            <w:pPr>
              <w:spacing w:line="300" w:lineRule="exact"/>
              <w:rPr>
                <w:rFonts w:ascii="宋体" w:hAnsi="宋体" w:cs="宋体"/>
                <w:color w:val="000000"/>
                <w:sz w:val="24"/>
              </w:rPr>
            </w:pPr>
            <w:r>
              <w:rPr>
                <w:rFonts w:hint="eastAsia" w:ascii="宋体" w:hAnsi="宋体" w:cs="宋体"/>
                <w:color w:val="000000"/>
                <w:sz w:val="24"/>
              </w:rPr>
              <w:t>5分</w:t>
            </w:r>
          </w:p>
        </w:tc>
        <w:tc>
          <w:tcPr>
            <w:tcW w:w="4168" w:type="dxa"/>
            <w:vAlign w:val="center"/>
          </w:tcPr>
          <w:p>
            <w:pPr>
              <w:spacing w:line="276" w:lineRule="auto"/>
              <w:ind w:firstLine="28"/>
              <w:rPr>
                <w:rFonts w:ascii="宋体" w:hAnsi="宋体" w:cs="宋体"/>
                <w:sz w:val="24"/>
              </w:rPr>
            </w:pPr>
            <w:r>
              <w:rPr>
                <w:rFonts w:hint="eastAsia" w:ascii="宋体" w:hAnsi="宋体" w:cs="宋体"/>
                <w:sz w:val="24"/>
              </w:rPr>
              <w:t>2020年以来，投标人具有类似项目业绩的（合同内容应至少包含</w:t>
            </w:r>
            <w:r>
              <w:rPr>
                <w:rFonts w:hint="eastAsia" w:ascii="宋体" w:hAnsi="宋体" w:cs="宋体"/>
                <w:color w:val="000000"/>
                <w:sz w:val="24"/>
              </w:rPr>
              <w:t>全院医学装备清单中任一设备同品牌同类型设备业绩</w:t>
            </w:r>
            <w:r>
              <w:rPr>
                <w:rFonts w:hint="eastAsia" w:ascii="宋体" w:hAnsi="宋体" w:cs="宋体"/>
                <w:sz w:val="24"/>
              </w:rPr>
              <w:t>），每有一个的得1分，最多得5分。</w:t>
            </w:r>
          </w:p>
          <w:p>
            <w:pPr>
              <w:spacing w:line="276" w:lineRule="auto"/>
              <w:ind w:firstLine="28"/>
              <w:rPr>
                <w:rFonts w:ascii="宋体" w:hAnsi="宋体" w:cs="宋体"/>
                <w:sz w:val="24"/>
              </w:rPr>
            </w:pPr>
            <w:r>
              <w:rPr>
                <w:rFonts w:hint="eastAsia" w:ascii="宋体" w:hAnsi="宋体" w:cs="宋体"/>
                <w:sz w:val="24"/>
              </w:rPr>
              <w:t>提供项目业绩合同复印件或对应项目的中标通知书。</w:t>
            </w:r>
          </w:p>
        </w:tc>
        <w:tc>
          <w:tcPr>
            <w:tcW w:w="2296" w:type="dxa"/>
            <w:vAlign w:val="center"/>
          </w:tcPr>
          <w:p>
            <w:pPr>
              <w:spacing w:line="300" w:lineRule="exact"/>
              <w:jc w:val="left"/>
              <w:rPr>
                <w:rFonts w:ascii="宋体" w:hAnsi="宋体" w:cs="宋体"/>
                <w:color w:val="000000"/>
                <w:sz w:val="24"/>
              </w:rPr>
            </w:pPr>
            <w:r>
              <w:rPr>
                <w:rFonts w:hint="eastAsia" w:ascii="宋体" w:hAnsi="宋体" w:cs="宋体"/>
                <w:color w:val="000000"/>
                <w:sz w:val="24"/>
              </w:rPr>
              <w:t>以相关证书证明材料及提供可查询相关内容的合同或中标通知书为准。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08"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6</w:t>
            </w:r>
          </w:p>
        </w:tc>
        <w:tc>
          <w:tcPr>
            <w:tcW w:w="1294"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小微企业加分1%</w:t>
            </w:r>
          </w:p>
        </w:tc>
        <w:tc>
          <w:tcPr>
            <w:tcW w:w="901" w:type="dxa"/>
            <w:vAlign w:val="center"/>
          </w:tcPr>
          <w:p>
            <w:pPr>
              <w:spacing w:line="300" w:lineRule="exact"/>
              <w:jc w:val="center"/>
              <w:rPr>
                <w:rFonts w:ascii="宋体" w:hAnsi="宋体" w:cs="宋体"/>
                <w:color w:val="000000"/>
                <w:sz w:val="24"/>
              </w:rPr>
            </w:pPr>
            <w:r>
              <w:rPr>
                <w:rFonts w:hint="eastAsia" w:ascii="宋体" w:hAnsi="宋体" w:cs="宋体"/>
                <w:color w:val="000000"/>
                <w:sz w:val="24"/>
              </w:rPr>
              <w:t>1分</w:t>
            </w:r>
          </w:p>
        </w:tc>
        <w:tc>
          <w:tcPr>
            <w:tcW w:w="4168" w:type="dxa"/>
            <w:vAlign w:val="center"/>
          </w:tcPr>
          <w:p>
            <w:pPr>
              <w:spacing w:line="300" w:lineRule="exact"/>
              <w:rPr>
                <w:rFonts w:ascii="宋体" w:hAnsi="宋体" w:cs="宋体"/>
                <w:color w:val="000000"/>
                <w:sz w:val="24"/>
              </w:rPr>
            </w:pPr>
            <w:r>
              <w:rPr>
                <w:rFonts w:hint="eastAsia" w:ascii="宋体" w:hAnsi="宋体" w:cs="宋体"/>
                <w:color w:val="000000"/>
                <w:sz w:val="24"/>
              </w:rPr>
              <w:t>供应商为小微企业时得分。</w:t>
            </w:r>
          </w:p>
        </w:tc>
        <w:tc>
          <w:tcPr>
            <w:tcW w:w="2296" w:type="dxa"/>
            <w:vAlign w:val="center"/>
          </w:tcPr>
          <w:p>
            <w:pPr>
              <w:spacing w:line="300" w:lineRule="exact"/>
              <w:jc w:val="left"/>
              <w:rPr>
                <w:rFonts w:ascii="宋体" w:hAnsi="宋体" w:cs="宋体"/>
                <w:color w:val="000000"/>
                <w:sz w:val="24"/>
              </w:rPr>
            </w:pPr>
          </w:p>
        </w:tc>
      </w:tr>
    </w:tbl>
    <w:p>
      <w:pPr>
        <w:spacing w:line="360" w:lineRule="auto"/>
        <w:ind w:firstLine="480" w:firstLineChars="200"/>
        <w:rPr>
          <w:rFonts w:ascii="宋体" w:hAnsi="宋体" w:cs="宋体"/>
          <w:sz w:val="24"/>
        </w:rPr>
      </w:pPr>
      <w:r>
        <w:rPr>
          <w:rFonts w:hint="eastAsia" w:ascii="宋体" w:hAnsi="宋体" w:cs="宋体"/>
          <w:sz w:val="24"/>
        </w:rPr>
        <w:t>评分的取值按四舍五入法，保留小数点后两位。</w:t>
      </w:r>
    </w:p>
    <w:bookmarkEnd w:id="118"/>
    <w:bookmarkEnd w:id="119"/>
    <w:bookmarkEnd w:id="120"/>
    <w:bookmarkEnd w:id="121"/>
    <w:p>
      <w:pPr>
        <w:tabs>
          <w:tab w:val="left" w:pos="851"/>
        </w:tabs>
        <w:spacing w:line="360" w:lineRule="auto"/>
        <w:ind w:firstLine="482" w:firstLineChars="200"/>
        <w:rPr>
          <w:rFonts w:ascii="宋体" w:hAnsi="宋体" w:cs="宋体"/>
          <w:b/>
          <w:color w:val="000000"/>
          <w:sz w:val="24"/>
        </w:rPr>
      </w:pPr>
    </w:p>
    <w:p>
      <w:pPr>
        <w:tabs>
          <w:tab w:val="left" w:pos="851"/>
        </w:tabs>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4.磋商纪律及注意事项</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4.3</w:t>
      </w:r>
      <w:r>
        <w:rPr>
          <w:rFonts w:hint="eastAsia" w:ascii="宋体" w:hAnsi="宋体" w:cs="宋体"/>
          <w:sz w:val="24"/>
        </w:rPr>
        <w:t>对各供应商的商业秘密，磋商小组成员应予以保密，不得泄露给其他供应商。</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4.4 磋商小组独立评判，推荐成交候选人，并写出书面报告。</w:t>
      </w:r>
    </w:p>
    <w:p>
      <w:pPr>
        <w:tabs>
          <w:tab w:val="left" w:pos="851"/>
        </w:tabs>
        <w:spacing w:line="360" w:lineRule="auto"/>
        <w:ind w:firstLine="480" w:firstLineChars="200"/>
        <w:rPr>
          <w:rFonts w:ascii="宋体" w:hAnsi="宋体" w:cs="宋体"/>
          <w:color w:val="000000"/>
          <w:sz w:val="24"/>
        </w:rPr>
      </w:pPr>
      <w:r>
        <w:rPr>
          <w:rFonts w:hint="eastAsia" w:ascii="宋体" w:hAnsi="宋体" w:cs="宋体"/>
          <w:color w:val="000000"/>
          <w:sz w:val="24"/>
        </w:rPr>
        <w:t>4.5 磋商小组可根据需要对供应商进行实地考察。</w:t>
      </w:r>
    </w:p>
    <w:p>
      <w:pPr>
        <w:spacing w:line="360" w:lineRule="auto"/>
        <w:ind w:firstLine="480" w:firstLineChars="200"/>
        <w:rPr>
          <w:rFonts w:ascii="宋体" w:hAnsi="宋体" w:cs="宋体"/>
          <w:color w:val="FF0000"/>
          <w:sz w:val="24"/>
        </w:rPr>
      </w:pPr>
    </w:p>
    <w:p>
      <w:pPr>
        <w:tabs>
          <w:tab w:val="left" w:pos="7665"/>
        </w:tabs>
        <w:spacing w:line="360" w:lineRule="auto"/>
        <w:ind w:firstLine="480" w:firstLineChars="200"/>
        <w:outlineLvl w:val="1"/>
        <w:rPr>
          <w:rFonts w:ascii="宋体" w:hAnsi="宋体" w:cs="宋体"/>
          <w:b/>
          <w:color w:val="000000"/>
          <w:sz w:val="24"/>
        </w:rPr>
      </w:pPr>
      <w:r>
        <w:rPr>
          <w:rFonts w:hint="eastAsia" w:ascii="宋体" w:hAnsi="宋体" w:cs="宋体"/>
          <w:color w:val="000000"/>
          <w:sz w:val="24"/>
        </w:rPr>
        <w:t>5.</w:t>
      </w:r>
      <w:bookmarkEnd w:id="122"/>
      <w:r>
        <w:rPr>
          <w:rFonts w:hint="eastAsia" w:ascii="宋体" w:hAnsi="宋体" w:cs="宋体"/>
          <w:b/>
          <w:color w:val="000000"/>
          <w:sz w:val="24"/>
        </w:rPr>
        <w:t>磋商小组在采购活动中承担以下义务：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（一）遵守评审工作纪律；</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（三）不得泄露评审文件、评审情况和在评审过程中获悉的商业秘密；</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（六）及时向财政、监察等部门举报在评审过程中受到非法干预的情况；</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（七）配合答复处理供应商的询问、质疑和投诉等事项；</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（八）法律、法规和规章规定的其他义务。</w:t>
      </w:r>
    </w:p>
    <w:p>
      <w:pPr>
        <w:tabs>
          <w:tab w:val="left" w:pos="7665"/>
        </w:tabs>
        <w:spacing w:line="360" w:lineRule="auto"/>
        <w:rPr>
          <w:rFonts w:ascii="宋体" w:hAnsi="宋体" w:cs="宋体"/>
          <w:color w:val="000000"/>
          <w:sz w:val="24"/>
        </w:rPr>
      </w:pPr>
    </w:p>
    <w:p>
      <w:pPr>
        <w:tabs>
          <w:tab w:val="left" w:pos="7665"/>
        </w:tabs>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6.评审专家在采购活动中应当遵守以下工作纪律：</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（二）评审前，应当将通讯工具或者相关电子设备交由纪检监察统一保管；</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color w:val="000000"/>
          <w:sz w:val="24"/>
        </w:rPr>
      </w:pPr>
      <w:r>
        <w:rPr>
          <w:rFonts w:hint="eastAsia" w:ascii="宋体" w:hAnsi="宋体" w:cs="宋体"/>
          <w:color w:val="000000"/>
          <w:sz w:val="24"/>
        </w:rPr>
        <w:t>（七）遵守有关廉洁自律规定，不得私下接触供应商，不得收受供应商及有关业务单位和个人的财物或好处，不得接受采购代理机构的请托。</w:t>
      </w:r>
    </w:p>
    <w:p>
      <w:pPr>
        <w:pStyle w:val="4"/>
        <w:spacing w:before="0" w:after="0" w:line="360" w:lineRule="auto"/>
        <w:jc w:val="center"/>
        <w:rPr>
          <w:rFonts w:ascii="宋体" w:hAnsi="宋体" w:cs="宋体"/>
          <w:sz w:val="36"/>
          <w:szCs w:val="36"/>
        </w:rPr>
      </w:pPr>
      <w:r>
        <w:rPr>
          <w:rFonts w:hint="eastAsia" w:ascii="宋体" w:hAnsi="宋体" w:cs="宋体"/>
          <w:color w:val="000000"/>
        </w:rPr>
        <w:br w:type="page"/>
      </w:r>
      <w:bookmarkStart w:id="124" w:name="_Toc517447495"/>
      <w:r>
        <w:rPr>
          <w:rFonts w:hint="eastAsia" w:ascii="宋体" w:hAnsi="宋体" w:cs="宋体"/>
          <w:sz w:val="36"/>
          <w:szCs w:val="36"/>
        </w:rPr>
        <w:t>第八章  采购合同（草案）</w:t>
      </w:r>
      <w:bookmarkEnd w:id="124"/>
    </w:p>
    <w:bookmarkEnd w:id="81"/>
    <w:bookmarkEnd w:id="82"/>
    <w:bookmarkEnd w:id="83"/>
    <w:p>
      <w:pPr>
        <w:pStyle w:val="63"/>
        <w:spacing w:line="360" w:lineRule="auto"/>
        <w:ind w:firstLine="480"/>
        <w:rPr>
          <w:rFonts w:ascii="楷体" w:hAnsi="楷体" w:eastAsia="楷体" w:cs="Times New Roman"/>
        </w:rPr>
      </w:pPr>
      <w:bookmarkStart w:id="125" w:name="_Hlt101846155"/>
      <w:bookmarkEnd w:id="125"/>
      <w:r>
        <w:rPr>
          <w:rFonts w:hint="eastAsia" w:ascii="黑体" w:hAnsi="黑体" w:eastAsia="黑体" w:cs="Times New Roman"/>
        </w:rPr>
        <w:t xml:space="preserve">                                  合同编号：</w:t>
      </w:r>
      <w:r>
        <w:rPr>
          <w:rFonts w:hint="eastAsia" w:ascii="楷体" w:hAnsi="楷体" w:eastAsia="楷体" w:cs="Times New Roman"/>
        </w:rPr>
        <w:t>Y</w:t>
      </w:r>
      <w:r>
        <w:rPr>
          <w:rFonts w:ascii="楷体" w:hAnsi="楷体" w:eastAsia="楷体" w:cs="Times New Roman"/>
        </w:rPr>
        <w:t xml:space="preserve">CS      </w:t>
      </w:r>
      <w:r>
        <w:rPr>
          <w:rFonts w:hint="eastAsia" w:ascii="楷体" w:hAnsi="楷体" w:eastAsia="楷体" w:cs="Times New Roman"/>
        </w:rPr>
        <w:t>号</w:t>
      </w:r>
    </w:p>
    <w:p>
      <w:pPr>
        <w:pStyle w:val="63"/>
        <w:spacing w:before="100" w:beforeAutospacing="1" w:after="100" w:afterAutospacing="1" w:line="360" w:lineRule="auto"/>
        <w:ind w:firstLine="480"/>
        <w:rPr>
          <w:rFonts w:ascii="仿宋" w:hAnsi="仿宋" w:eastAsia="仿宋" w:cs="Times New Roman"/>
        </w:rPr>
      </w:pPr>
      <w:r>
        <w:rPr>
          <w:rFonts w:hint="eastAsia" w:ascii="黑体" w:hAnsi="黑体" w:eastAsia="黑体" w:cs="Times New Roman"/>
        </w:rPr>
        <w:t>采购人（甲方）：</w:t>
      </w:r>
      <w:r>
        <w:rPr>
          <w:rFonts w:hint="eastAsia" w:ascii="仿宋" w:hAnsi="仿宋" w:eastAsia="仿宋" w:cs="Times New Roman"/>
        </w:rPr>
        <w:t>绵竹市中医医院</w:t>
      </w:r>
    </w:p>
    <w:p>
      <w:pPr>
        <w:pStyle w:val="63"/>
        <w:spacing w:before="100" w:beforeAutospacing="1" w:after="100" w:afterAutospacing="1" w:line="360" w:lineRule="auto"/>
        <w:ind w:firstLine="480"/>
        <w:rPr>
          <w:rFonts w:ascii="仿宋" w:hAnsi="仿宋" w:eastAsia="仿宋" w:cs="Times New Roman"/>
        </w:rPr>
      </w:pPr>
      <w:r>
        <w:rPr>
          <w:rFonts w:hint="eastAsia" w:ascii="黑体" w:hAnsi="黑体" w:eastAsia="黑体" w:cs="Times New Roman"/>
        </w:rPr>
        <w:t>供应商（乙方）：</w:t>
      </w:r>
      <w:r>
        <w:rPr>
          <w:rFonts w:hint="eastAsia" w:ascii="仿宋" w:hAnsi="仿宋" w:eastAsia="仿宋" w:cs="Times New Roman"/>
        </w:rPr>
        <w:t xml:space="preserve"> </w:t>
      </w:r>
    </w:p>
    <w:p>
      <w:pPr>
        <w:pStyle w:val="63"/>
        <w:spacing w:before="100" w:beforeAutospacing="1" w:after="100" w:afterAutospacing="1" w:line="360" w:lineRule="auto"/>
        <w:ind w:firstLine="480"/>
        <w:rPr>
          <w:rFonts w:ascii="仿宋" w:hAnsi="仿宋" w:eastAsia="仿宋" w:cs="Times New Roman"/>
        </w:rPr>
      </w:pPr>
      <w:r>
        <w:rPr>
          <w:rFonts w:hint="eastAsia" w:ascii="黑体" w:hAnsi="黑体" w:eastAsia="黑体" w:cs="Times New Roman"/>
        </w:rPr>
        <w:t>签订地点：</w:t>
      </w:r>
      <w:r>
        <w:rPr>
          <w:rFonts w:hint="eastAsia" w:ascii="仿宋" w:hAnsi="仿宋" w:eastAsia="仿宋" w:cs="Times New Roman"/>
        </w:rPr>
        <w:t>绵竹市中医医院</w:t>
      </w:r>
    </w:p>
    <w:p>
      <w:pPr>
        <w:pStyle w:val="63"/>
        <w:spacing w:before="100" w:beforeAutospacing="1" w:after="100" w:afterAutospacing="1" w:line="360" w:lineRule="auto"/>
        <w:ind w:firstLine="480"/>
        <w:rPr>
          <w:rFonts w:ascii="仿宋" w:hAnsi="仿宋" w:eastAsia="仿宋" w:cs="Times New Roman"/>
        </w:rPr>
      </w:pPr>
      <w:r>
        <w:rPr>
          <w:rFonts w:hint="eastAsia" w:ascii="黑体" w:hAnsi="黑体" w:eastAsia="黑体" w:cs="Times New Roman"/>
        </w:rPr>
        <w:t>签订时间：</w:t>
      </w:r>
      <w:r>
        <w:rPr>
          <w:rFonts w:ascii="仿宋" w:hAnsi="仿宋" w:eastAsia="仿宋" w:cs="Times New Roman"/>
        </w:rPr>
        <w:t xml:space="preserve">   </w:t>
      </w:r>
      <w:r>
        <w:rPr>
          <w:rFonts w:hint="eastAsia" w:ascii="仿宋" w:hAnsi="仿宋" w:eastAsia="仿宋" w:cs="Times New Roman"/>
        </w:rPr>
        <w:t>年</w:t>
      </w:r>
      <w:r>
        <w:rPr>
          <w:rFonts w:ascii="仿宋" w:hAnsi="仿宋" w:eastAsia="仿宋" w:cs="Times New Roman"/>
        </w:rPr>
        <w:t xml:space="preserve">   </w:t>
      </w:r>
      <w:r>
        <w:rPr>
          <w:rFonts w:hint="eastAsia" w:ascii="仿宋" w:hAnsi="仿宋" w:eastAsia="仿宋" w:cs="Times New Roman"/>
        </w:rPr>
        <w:t>月</w:t>
      </w:r>
      <w:r>
        <w:rPr>
          <w:rFonts w:ascii="仿宋" w:hAnsi="仿宋" w:eastAsia="仿宋" w:cs="Times New Roman"/>
        </w:rPr>
        <w:t xml:space="preserve">  </w:t>
      </w:r>
      <w:r>
        <w:rPr>
          <w:rFonts w:hint="eastAsia" w:ascii="仿宋" w:hAnsi="仿宋" w:eastAsia="仿宋" w:cs="Times New Roman"/>
        </w:rPr>
        <w:t>日</w:t>
      </w:r>
    </w:p>
    <w:p>
      <w:pPr>
        <w:pStyle w:val="63"/>
        <w:spacing w:line="360" w:lineRule="auto"/>
        <w:ind w:firstLine="480"/>
        <w:rPr>
          <w:rFonts w:ascii="仿宋" w:hAnsi="仿宋" w:eastAsia="仿宋" w:cs="Times New Roman"/>
          <w:color w:val="000000"/>
        </w:rPr>
      </w:pPr>
      <w:r>
        <w:rPr>
          <w:rFonts w:hint="eastAsia" w:ascii="仿宋" w:hAnsi="仿宋" w:eastAsia="仿宋" w:cs="Times New Roman"/>
        </w:rPr>
        <w:t>根据《中华人民共和国政府采购法》、《中华人民共和国民法典》及</w:t>
      </w:r>
      <w:r>
        <w:rPr>
          <w:rFonts w:hint="eastAsia" w:ascii="仿宋" w:hAnsi="仿宋" w:eastAsia="仿宋" w:cs="Times New Roman"/>
          <w:bCs/>
          <w:u w:val="single"/>
        </w:rPr>
        <w:t xml:space="preserve"> </w:t>
      </w:r>
      <w:r>
        <w:rPr>
          <w:rFonts w:ascii="仿宋" w:hAnsi="仿宋" w:eastAsia="仿宋" w:cs="Times New Roman"/>
          <w:bCs/>
          <w:u w:val="single"/>
        </w:rPr>
        <w:t xml:space="preserve">            </w:t>
      </w:r>
      <w:r>
        <w:rPr>
          <w:rFonts w:hint="eastAsia" w:ascii="仿宋" w:hAnsi="仿宋" w:eastAsia="仿宋" w:cs="Times New Roman"/>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w:t>
      </w:r>
      <w:r>
        <w:rPr>
          <w:rFonts w:hint="eastAsia" w:ascii="仿宋" w:hAnsi="仿宋" w:eastAsia="仿宋" w:cs="Times New Roman"/>
          <w:color w:val="000000"/>
        </w:rPr>
        <w:t>遵守如下条款：</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合同内容</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合同总价</w:t>
      </w:r>
    </w:p>
    <w:p>
      <w:pPr>
        <w:pStyle w:val="9"/>
        <w:spacing w:line="360" w:lineRule="auto"/>
        <w:ind w:firstLine="480"/>
        <w:rPr>
          <w:rFonts w:ascii="仿宋" w:hAnsi="仿宋" w:eastAsia="仿宋"/>
          <w:color w:val="000000"/>
          <w:sz w:val="24"/>
        </w:rPr>
      </w:pPr>
      <w:r>
        <w:rPr>
          <w:rFonts w:hint="eastAsia" w:ascii="仿宋" w:hAnsi="仿宋" w:eastAsia="仿宋"/>
          <w:color w:val="000000"/>
          <w:sz w:val="24"/>
        </w:rPr>
        <w:t>合同总价为人民币大写：</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rPr>
        <w:t>元，即RMB￥</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u w:val="single"/>
        </w:rPr>
        <w:t>元</w:t>
      </w:r>
      <w:r>
        <w:rPr>
          <w:rFonts w:hint="eastAsia" w:ascii="仿宋" w:hAnsi="仿宋" w:eastAsia="仿宋"/>
          <w:color w:val="000000"/>
          <w:sz w:val="24"/>
        </w:rPr>
        <w:t>；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numPr>
          <w:ilvl w:val="0"/>
          <w:numId w:val="7"/>
        </w:numPr>
        <w:tabs>
          <w:tab w:val="left" w:pos="567"/>
          <w:tab w:val="left" w:pos="993"/>
          <w:tab w:val="clear" w:pos="720"/>
        </w:tabs>
        <w:spacing w:before="100" w:beforeAutospacing="1" w:line="360" w:lineRule="auto"/>
        <w:ind w:left="0" w:firstLine="482" w:firstLineChars="200"/>
        <w:rPr>
          <w:rFonts w:ascii="黑体" w:hAnsi="黑体" w:eastAsia="黑体"/>
          <w:b/>
          <w:color w:val="000000"/>
          <w:sz w:val="24"/>
        </w:rPr>
      </w:pPr>
      <w:r>
        <w:rPr>
          <w:rFonts w:hint="eastAsia" w:ascii="黑体" w:hAnsi="黑体" w:eastAsia="黑体"/>
          <w:b/>
          <w:color w:val="000000"/>
          <w:sz w:val="24"/>
        </w:rPr>
        <w:t>质量要求</w:t>
      </w:r>
    </w:p>
    <w:p>
      <w:pPr>
        <w:pStyle w:val="2"/>
      </w:pPr>
      <w:r>
        <w:rPr>
          <w:rFonts w:hint="eastAsia"/>
        </w:rPr>
        <w:t>1</w:t>
      </w:r>
      <w:r>
        <w:t>……….</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权利和质量保证</w:t>
      </w:r>
    </w:p>
    <w:p>
      <w:pPr>
        <w:pStyle w:val="9"/>
        <w:spacing w:line="360" w:lineRule="auto"/>
        <w:ind w:firstLine="361" w:firstLineChars="150"/>
        <w:rPr>
          <w:rFonts w:ascii="楷体" w:hAnsi="楷体" w:eastAsia="楷体"/>
          <w:b/>
          <w:color w:val="000000"/>
          <w:sz w:val="24"/>
        </w:rPr>
      </w:pPr>
      <w:r>
        <w:rPr>
          <w:rFonts w:hint="eastAsia" w:ascii="楷体" w:hAnsi="楷体" w:eastAsia="楷体"/>
          <w:b/>
          <w:color w:val="000000"/>
          <w:sz w:val="24"/>
        </w:rPr>
        <w:t>（一）甲方的权利和义务</w:t>
      </w:r>
    </w:p>
    <w:p>
      <w:pPr>
        <w:pStyle w:val="9"/>
        <w:spacing w:line="360" w:lineRule="auto"/>
        <w:ind w:firstLine="360" w:firstLineChars="150"/>
        <w:rPr>
          <w:rFonts w:ascii="仿宋" w:hAnsi="仿宋" w:eastAsia="仿宋"/>
          <w:color w:val="000000"/>
          <w:sz w:val="24"/>
        </w:rPr>
      </w:pPr>
      <w:r>
        <w:rPr>
          <w:rFonts w:hint="eastAsia" w:ascii="仿宋" w:hAnsi="仿宋" w:eastAsia="仿宋"/>
          <w:color w:val="000000"/>
          <w:sz w:val="24"/>
        </w:rPr>
        <w:t xml:space="preserve">1. </w:t>
      </w:r>
    </w:p>
    <w:p>
      <w:pPr>
        <w:pStyle w:val="9"/>
        <w:spacing w:line="360" w:lineRule="auto"/>
        <w:ind w:firstLine="361" w:firstLineChars="150"/>
        <w:rPr>
          <w:rFonts w:ascii="楷体" w:hAnsi="楷体" w:eastAsia="楷体"/>
          <w:b/>
          <w:color w:val="000000"/>
          <w:sz w:val="24"/>
        </w:rPr>
      </w:pPr>
      <w:r>
        <w:rPr>
          <w:rFonts w:hint="eastAsia" w:ascii="楷体" w:hAnsi="楷体" w:eastAsia="楷体"/>
          <w:b/>
          <w:color w:val="000000"/>
          <w:sz w:val="24"/>
        </w:rPr>
        <w:t>（二）乙方的权利和义务</w:t>
      </w:r>
    </w:p>
    <w:p>
      <w:pPr>
        <w:pStyle w:val="9"/>
        <w:spacing w:line="360" w:lineRule="auto"/>
        <w:ind w:firstLine="360" w:firstLineChars="15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交货及验收</w:t>
      </w:r>
    </w:p>
    <w:p>
      <w:pPr>
        <w:pStyle w:val="63"/>
        <w:spacing w:line="360" w:lineRule="auto"/>
        <w:ind w:firstLine="480"/>
        <w:rPr>
          <w:rFonts w:ascii="仿宋" w:hAnsi="仿宋" w:eastAsia="仿宋" w:cs="Times New Roman"/>
          <w:color w:val="000000"/>
        </w:rPr>
      </w:pPr>
      <w:r>
        <w:rPr>
          <w:rFonts w:hint="eastAsia" w:ascii="仿宋" w:hAnsi="仿宋" w:eastAsia="仿宋" w:cs="Times New Roman"/>
        </w:rPr>
        <w:t>1．</w:t>
      </w:r>
      <w:r>
        <w:rPr>
          <w:rFonts w:hint="eastAsia" w:ascii="仿宋" w:hAnsi="仿宋" w:eastAsia="仿宋" w:cs="Times New Roman"/>
          <w:color w:val="000000"/>
        </w:rPr>
        <w:t>。</w:t>
      </w:r>
      <w:r>
        <w:rPr>
          <w:rFonts w:hint="eastAsia" w:ascii="宋体" w:hAnsi="宋体"/>
          <w:color w:val="000000"/>
        </w:rPr>
        <w:t> </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付款方式</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1.</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售后服务</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1.质保期为验收合格后</w:t>
      </w:r>
      <w:r>
        <w:rPr>
          <w:rFonts w:hint="eastAsia" w:ascii="仿宋" w:hAnsi="仿宋" w:eastAsia="仿宋" w:cs="Times New Roman"/>
          <w:color w:val="000000"/>
          <w:u w:val="single"/>
        </w:rPr>
        <w:t xml:space="preserve"> </w:t>
      </w:r>
      <w:r>
        <w:rPr>
          <w:rFonts w:ascii="仿宋" w:hAnsi="仿宋" w:eastAsia="仿宋" w:cs="Times New Roman"/>
          <w:color w:val="000000"/>
          <w:u w:val="single"/>
        </w:rPr>
        <w:t xml:space="preserve">  </w:t>
      </w:r>
      <w:r>
        <w:rPr>
          <w:rFonts w:hint="eastAsia" w:ascii="仿宋" w:hAnsi="仿宋" w:eastAsia="仿宋" w:cs="Times New Roman"/>
          <w:color w:val="000000"/>
          <w:u w:val="single"/>
        </w:rPr>
        <w:t>年</w:t>
      </w:r>
      <w:r>
        <w:rPr>
          <w:rFonts w:hint="eastAsia" w:ascii="仿宋" w:hAnsi="仿宋" w:eastAsia="仿宋" w:cs="Times New Roman"/>
          <w:color w:val="000000"/>
        </w:rPr>
        <w:t>，质保期内乙方应每月进行一次设备巡检，并留存相关资料，质保期结束后提交甲方。如出现质量问题，乙方在接到通知后</w:t>
      </w:r>
      <w:r>
        <w:rPr>
          <w:rFonts w:hint="eastAsia" w:ascii="仿宋" w:hAnsi="仿宋" w:eastAsia="仿宋" w:cs="Times New Roman"/>
          <w:color w:val="000000"/>
          <w:u w:val="single"/>
        </w:rPr>
        <w:t xml:space="preserve"> 6 </w:t>
      </w:r>
      <w:r>
        <w:rPr>
          <w:rFonts w:hint="eastAsia" w:ascii="仿宋" w:hAnsi="仿宋" w:eastAsia="仿宋" w:cs="Times New Roman"/>
          <w:color w:val="000000"/>
        </w:rPr>
        <w:t>小时内响应到场，</w:t>
      </w:r>
      <w:r>
        <w:rPr>
          <w:rFonts w:hint="eastAsia" w:ascii="仿宋" w:hAnsi="仿宋" w:eastAsia="仿宋" w:cs="Times New Roman"/>
          <w:color w:val="000000"/>
          <w:u w:val="single"/>
        </w:rPr>
        <w:t xml:space="preserve"> 24 </w:t>
      </w:r>
      <w:r>
        <w:rPr>
          <w:rFonts w:hint="eastAsia" w:ascii="仿宋" w:hAnsi="仿宋" w:eastAsia="仿宋" w:cs="Times New Roman"/>
          <w:color w:val="000000"/>
        </w:rPr>
        <w:t>小时内完成维修或更换，并承担修理调换的费用，如维修或更换时间超过24小时应向甲方提供同类代用品；质保期内如货物经乙方</w:t>
      </w:r>
      <w:r>
        <w:rPr>
          <w:rFonts w:hint="eastAsia" w:ascii="仿宋" w:hAnsi="仿宋" w:eastAsia="仿宋" w:cs="Times New Roman"/>
          <w:color w:val="000000"/>
          <w:u w:val="single"/>
        </w:rPr>
        <w:t xml:space="preserve"> 3 </w:t>
      </w:r>
      <w:r>
        <w:rPr>
          <w:rFonts w:hint="eastAsia" w:ascii="仿宋" w:hAnsi="仿宋" w:eastAsia="仿宋" w:cs="Times New Roman"/>
          <w:color w:val="000000"/>
        </w:rPr>
        <w:t>次维修或更换仍不能达到本合同约定的质量标准，甲方有权退货并追究乙方的违约责任。货到现场后由于甲方保管不当造成的问题，乙方亦应负责修复，但费用由甲方负担。</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2.乙方须指派专人负责与甲方联系售后、维修服务事宜。</w:t>
      </w:r>
    </w:p>
    <w:p>
      <w:pPr>
        <w:pStyle w:val="63"/>
        <w:ind w:firstLine="480"/>
        <w:rPr>
          <w:rFonts w:ascii="仿宋" w:hAnsi="仿宋" w:eastAsia="仿宋" w:cs="Times New Roman"/>
          <w:color w:val="000000"/>
        </w:rPr>
      </w:pPr>
      <w:r>
        <w:rPr>
          <w:rFonts w:hint="eastAsia" w:ascii="仿宋" w:hAnsi="仿宋" w:eastAsia="仿宋" w:cs="Times New Roman"/>
          <w:color w:val="000000"/>
        </w:rPr>
        <w:t>联系人：</w:t>
      </w:r>
      <w:r>
        <w:rPr>
          <w:rFonts w:hint="eastAsia" w:ascii="仿宋" w:hAnsi="仿宋" w:eastAsia="仿宋" w:cs="Times New Roman"/>
          <w:color w:val="000000"/>
          <w:u w:val="single"/>
        </w:rPr>
        <w:t xml:space="preserve">   </w:t>
      </w:r>
      <w:r>
        <w:rPr>
          <w:rFonts w:ascii="仿宋" w:hAnsi="仿宋" w:eastAsia="仿宋" w:cs="Times New Roman"/>
          <w:color w:val="000000"/>
          <w:u w:val="single"/>
        </w:rPr>
        <w:t xml:space="preserve">   </w:t>
      </w:r>
      <w:r>
        <w:rPr>
          <w:rFonts w:hint="eastAsia" w:ascii="仿宋" w:hAnsi="仿宋" w:eastAsia="仿宋" w:cs="Times New Roman"/>
          <w:color w:val="000000"/>
          <w:u w:val="single"/>
        </w:rPr>
        <w:t xml:space="preserve">    </w:t>
      </w:r>
      <w:r>
        <w:rPr>
          <w:rFonts w:hint="eastAsia" w:ascii="仿宋" w:hAnsi="仿宋" w:eastAsia="仿宋" w:cs="Times New Roman"/>
          <w:color w:val="000000"/>
        </w:rPr>
        <w:t>联系电话：</w:t>
      </w:r>
      <w:r>
        <w:rPr>
          <w:rFonts w:hint="eastAsia" w:ascii="仿宋" w:hAnsi="仿宋" w:eastAsia="仿宋" w:cs="Times New Roman"/>
          <w:color w:val="000000"/>
          <w:u w:val="single"/>
        </w:rPr>
        <w:t xml:space="preserve"> </w:t>
      </w:r>
      <w:r>
        <w:rPr>
          <w:rFonts w:ascii="仿宋" w:hAnsi="仿宋" w:eastAsia="仿宋" w:cs="Times New Roman"/>
          <w:color w:val="000000"/>
          <w:u w:val="single"/>
        </w:rPr>
        <w:t xml:space="preserve">         </w:t>
      </w:r>
      <w:r>
        <w:rPr>
          <w:rFonts w:hint="eastAsia" w:ascii="仿宋" w:hAnsi="仿宋" w:eastAsia="仿宋" w:cs="Times New Roman"/>
          <w:color w:val="000000"/>
          <w:u w:val="single"/>
        </w:rPr>
        <w:t xml:space="preserve">  </w:t>
      </w:r>
      <w:r>
        <w:rPr>
          <w:rFonts w:hint="eastAsia" w:ascii="宋体" w:hAnsi="宋体"/>
          <w:color w:val="000000"/>
        </w:rPr>
        <w:t> </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违约责任</w:t>
      </w:r>
    </w:p>
    <w:p>
      <w:pPr>
        <w:pStyle w:val="63"/>
        <w:spacing w:line="360" w:lineRule="auto"/>
        <w:ind w:firstLine="482"/>
        <w:rPr>
          <w:rFonts w:ascii="楷体" w:hAnsi="楷体" w:eastAsia="楷体" w:cs="Times New Roman"/>
          <w:b/>
          <w:color w:val="000000"/>
        </w:rPr>
      </w:pPr>
      <w:r>
        <w:rPr>
          <w:rFonts w:hint="eastAsia" w:ascii="楷体" w:hAnsi="楷体" w:eastAsia="楷体" w:cs="Times New Roman"/>
          <w:b/>
          <w:color w:val="000000"/>
        </w:rPr>
        <w:t>1.甲方违约责任</w:t>
      </w:r>
    </w:p>
    <w:p>
      <w:pPr>
        <w:pStyle w:val="63"/>
        <w:spacing w:line="360" w:lineRule="auto"/>
        <w:ind w:firstLine="360" w:firstLineChars="150"/>
        <w:rPr>
          <w:rFonts w:ascii="仿宋" w:hAnsi="仿宋" w:eastAsia="仿宋" w:cs="Times New Roman"/>
          <w:color w:val="000000"/>
        </w:rPr>
      </w:pPr>
      <w:r>
        <w:rPr>
          <w:rFonts w:hint="eastAsia" w:ascii="仿宋" w:hAnsi="仿宋" w:eastAsia="仿宋" w:cs="Times New Roman"/>
          <w:color w:val="000000"/>
        </w:rPr>
        <w:t>。</w:t>
      </w:r>
    </w:p>
    <w:p>
      <w:pPr>
        <w:pStyle w:val="63"/>
        <w:spacing w:line="360" w:lineRule="auto"/>
        <w:ind w:firstLine="482"/>
        <w:rPr>
          <w:rFonts w:ascii="楷体" w:hAnsi="楷体" w:eastAsia="楷体" w:cs="Times New Roman"/>
          <w:b/>
          <w:color w:val="000000"/>
        </w:rPr>
      </w:pPr>
      <w:r>
        <w:rPr>
          <w:rFonts w:hint="eastAsia" w:ascii="楷体" w:hAnsi="楷体" w:eastAsia="楷体" w:cs="Times New Roman"/>
          <w:b/>
          <w:color w:val="000000"/>
        </w:rPr>
        <w:t>2.乙方违约责任</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争议解决办法</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1.</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w:t>
      </w:r>
    </w:p>
    <w:p>
      <w:pPr>
        <w:numPr>
          <w:ilvl w:val="0"/>
          <w:numId w:val="7"/>
        </w:numPr>
        <w:tabs>
          <w:tab w:val="left" w:pos="567"/>
          <w:tab w:val="left" w:pos="993"/>
          <w:tab w:val="clear" w:pos="720"/>
        </w:tabs>
        <w:spacing w:before="100" w:beforeAutospacing="1" w:line="360" w:lineRule="auto"/>
        <w:ind w:left="0" w:firstLine="482" w:firstLineChars="200"/>
        <w:rPr>
          <w:rFonts w:ascii="仿宋" w:hAnsi="仿宋" w:eastAsia="仿宋"/>
          <w:b/>
          <w:color w:val="000000"/>
          <w:sz w:val="24"/>
        </w:rPr>
      </w:pPr>
      <w:r>
        <w:rPr>
          <w:rFonts w:hint="eastAsia" w:ascii="黑体" w:hAnsi="黑体" w:eastAsia="黑体"/>
          <w:b/>
          <w:color w:val="000000"/>
          <w:sz w:val="24"/>
        </w:rPr>
        <w:t>其他</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1.如有未尽事宜，由双方依法订立补充合同。</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2.本合同双方应加盖骑缝章。</w:t>
      </w:r>
    </w:p>
    <w:p>
      <w:pPr>
        <w:pStyle w:val="63"/>
        <w:spacing w:line="360" w:lineRule="auto"/>
        <w:ind w:firstLine="480"/>
        <w:rPr>
          <w:rFonts w:ascii="仿宋" w:hAnsi="仿宋" w:eastAsia="仿宋" w:cs="Times New Roman"/>
          <w:color w:val="000000"/>
        </w:rPr>
      </w:pPr>
      <w:r>
        <w:rPr>
          <w:rFonts w:hint="eastAsia" w:ascii="仿宋" w:hAnsi="仿宋" w:eastAsia="仿宋" w:cs="Times New Roman"/>
          <w:color w:val="000000"/>
        </w:rPr>
        <w:t>3.本合同一</w:t>
      </w:r>
      <w:r>
        <w:rPr>
          <w:rFonts w:hint="eastAsia" w:ascii="仿宋" w:hAnsi="仿宋" w:eastAsia="仿宋" w:cs="Times New Roman"/>
        </w:rPr>
        <w:t>式</w:t>
      </w:r>
      <w:r>
        <w:rPr>
          <w:rFonts w:hint="eastAsia" w:ascii="仿宋" w:hAnsi="仿宋" w:eastAsia="仿宋" w:cs="Times New Roman"/>
          <w:u w:val="single"/>
        </w:rPr>
        <w:t xml:space="preserve"> 肆 </w:t>
      </w:r>
      <w:r>
        <w:rPr>
          <w:rFonts w:hint="eastAsia" w:ascii="仿宋" w:hAnsi="仿宋" w:eastAsia="仿宋" w:cs="Times New Roman"/>
        </w:rPr>
        <w:t>份</w:t>
      </w:r>
      <w:r>
        <w:rPr>
          <w:rFonts w:hint="eastAsia" w:ascii="仿宋" w:hAnsi="仿宋" w:eastAsia="仿宋" w:cs="Times New Roman"/>
          <w:color w:val="000000"/>
        </w:rPr>
        <w:t>，甲方、乙方和有关部门各</w:t>
      </w:r>
      <w:r>
        <w:rPr>
          <w:rFonts w:hint="eastAsia" w:ascii="仿宋" w:hAnsi="仿宋" w:eastAsia="仿宋" w:cs="Times New Roman"/>
          <w:color w:val="000000"/>
          <w:u w:val="single"/>
        </w:rPr>
        <w:t xml:space="preserve"> 壹 </w:t>
      </w:r>
      <w:r>
        <w:rPr>
          <w:rFonts w:hint="eastAsia" w:ascii="仿宋" w:hAnsi="仿宋" w:eastAsia="仿宋" w:cs="Times New Roman"/>
          <w:color w:val="000000"/>
        </w:rPr>
        <w:t>份。</w:t>
      </w:r>
    </w:p>
    <w:p>
      <w:pPr>
        <w:numPr>
          <w:ilvl w:val="0"/>
          <w:numId w:val="7"/>
        </w:numPr>
        <w:tabs>
          <w:tab w:val="left" w:pos="567"/>
          <w:tab w:val="left" w:pos="993"/>
          <w:tab w:val="clear" w:pos="720"/>
        </w:tabs>
        <w:spacing w:before="100" w:beforeAutospacing="1" w:line="360" w:lineRule="auto"/>
        <w:ind w:left="0" w:firstLine="482" w:firstLineChars="200"/>
        <w:rPr>
          <w:rFonts w:ascii="黑体" w:hAnsi="黑体" w:eastAsia="黑体"/>
          <w:b/>
          <w:color w:val="000000"/>
          <w:sz w:val="24"/>
        </w:rPr>
      </w:pPr>
      <w:r>
        <w:rPr>
          <w:rFonts w:hint="eastAsia" w:ascii="黑体" w:hAnsi="黑体" w:eastAsia="黑体"/>
          <w:b/>
          <w:color w:val="000000"/>
          <w:sz w:val="24"/>
        </w:rPr>
        <w:t>合同附件</w:t>
      </w:r>
    </w:p>
    <w:tbl>
      <w:tblPr>
        <w:tblStyle w:val="33"/>
        <w:tblW w:w="9285" w:type="dxa"/>
        <w:tblInd w:w="0" w:type="dxa"/>
        <w:tblLayout w:type="autofit"/>
        <w:tblCellMar>
          <w:top w:w="0" w:type="dxa"/>
          <w:left w:w="108" w:type="dxa"/>
          <w:bottom w:w="0" w:type="dxa"/>
          <w:right w:w="108" w:type="dxa"/>
        </w:tblCellMar>
      </w:tblPr>
      <w:tblGrid>
        <w:gridCol w:w="4727"/>
        <w:gridCol w:w="4558"/>
      </w:tblGrid>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甲方：（盖章）</w:t>
            </w:r>
            <w:r>
              <w:rPr>
                <w:rFonts w:hint="eastAsia" w:ascii="仿宋" w:hAnsi="仿宋" w:eastAsia="仿宋"/>
                <w:color w:val="000000"/>
                <w:sz w:val="24"/>
              </w:rPr>
              <w:t>绵竹市中医医院</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乙方：（盖章）</w:t>
            </w:r>
            <w:r>
              <w:rPr>
                <w:rFonts w:hint="eastAsia" w:ascii="仿宋" w:hAnsi="仿宋" w:eastAsia="仿宋"/>
                <w:color w:val="000000"/>
                <w:sz w:val="24"/>
              </w:rPr>
              <w:t xml:space="preserve">  </w:t>
            </w:r>
          </w:p>
        </w:tc>
      </w:tr>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法定代表人</w:t>
            </w:r>
            <w:r>
              <w:rPr>
                <w:rFonts w:hint="eastAsia" w:ascii="仿宋" w:hAnsi="仿宋" w:eastAsia="仿宋"/>
                <w:color w:val="000000"/>
                <w:sz w:val="24"/>
              </w:rPr>
              <w:t>（授权代表）：</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法定代表人</w:t>
            </w:r>
            <w:r>
              <w:rPr>
                <w:rFonts w:hint="eastAsia" w:ascii="仿宋" w:hAnsi="仿宋" w:eastAsia="仿宋"/>
                <w:color w:val="000000"/>
                <w:sz w:val="24"/>
              </w:rPr>
              <w:t>（授权代表）：</w:t>
            </w:r>
          </w:p>
        </w:tc>
      </w:tr>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地址：</w:t>
            </w:r>
            <w:r>
              <w:rPr>
                <w:rFonts w:hint="eastAsia" w:ascii="仿宋" w:hAnsi="仿宋" w:eastAsia="仿宋"/>
                <w:color w:val="000000"/>
                <w:sz w:val="24"/>
              </w:rPr>
              <w:t>绵竹市紫岩街道天河路60号</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地址：</w:t>
            </w:r>
          </w:p>
        </w:tc>
      </w:tr>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开户银行：</w:t>
            </w:r>
            <w:r>
              <w:rPr>
                <w:rFonts w:hint="eastAsia" w:ascii="宋体" w:hAnsi="宋体" w:cs="宋体"/>
                <w:color w:val="000000"/>
                <w:kern w:val="0"/>
                <w:sz w:val="24"/>
                <w:lang w:bidi="ar"/>
              </w:rPr>
              <w:t>工行绵竹支行</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开户银行：</w:t>
            </w:r>
          </w:p>
        </w:tc>
      </w:tr>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账    号：</w:t>
            </w:r>
            <w:r>
              <w:rPr>
                <w:rFonts w:hint="eastAsia" w:ascii="宋体" w:hAnsi="宋体" w:cs="宋体"/>
                <w:color w:val="000000"/>
                <w:kern w:val="0"/>
                <w:sz w:val="24"/>
                <w:lang w:bidi="ar"/>
              </w:rPr>
              <w:t>2305 0602 0902 2102 318</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账    号：</w:t>
            </w:r>
          </w:p>
        </w:tc>
      </w:tr>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电    话：</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电    话：</w:t>
            </w:r>
          </w:p>
        </w:tc>
      </w:tr>
      <w:tr>
        <w:tblPrEx>
          <w:tblCellMar>
            <w:top w:w="0" w:type="dxa"/>
            <w:left w:w="108" w:type="dxa"/>
            <w:bottom w:w="0" w:type="dxa"/>
            <w:right w:w="108" w:type="dxa"/>
          </w:tblCellMar>
        </w:tblPrEx>
        <w:tc>
          <w:tcPr>
            <w:tcW w:w="4727" w:type="dxa"/>
          </w:tcPr>
          <w:p>
            <w:pPr>
              <w:spacing w:line="360" w:lineRule="auto"/>
              <w:rPr>
                <w:rFonts w:ascii="仿宋" w:hAnsi="仿宋" w:eastAsia="仿宋"/>
                <w:color w:val="000000"/>
                <w:sz w:val="24"/>
              </w:rPr>
            </w:pPr>
            <w:r>
              <w:rPr>
                <w:rFonts w:hint="eastAsia" w:ascii="黑体" w:hAnsi="黑体" w:eastAsia="黑体"/>
                <w:color w:val="000000"/>
                <w:sz w:val="24"/>
              </w:rPr>
              <w:t>传    真：</w:t>
            </w:r>
          </w:p>
        </w:tc>
        <w:tc>
          <w:tcPr>
            <w:tcW w:w="4558" w:type="dxa"/>
          </w:tcPr>
          <w:p>
            <w:pPr>
              <w:spacing w:line="360" w:lineRule="auto"/>
              <w:rPr>
                <w:rFonts w:ascii="仿宋" w:hAnsi="仿宋" w:eastAsia="仿宋"/>
                <w:color w:val="000000"/>
                <w:sz w:val="24"/>
              </w:rPr>
            </w:pPr>
            <w:r>
              <w:rPr>
                <w:rFonts w:hint="eastAsia" w:ascii="黑体" w:hAnsi="黑体" w:eastAsia="黑体"/>
                <w:color w:val="000000"/>
                <w:sz w:val="24"/>
              </w:rPr>
              <w:t>传    真：</w:t>
            </w:r>
          </w:p>
        </w:tc>
      </w:tr>
    </w:tbl>
    <w:p>
      <w:pPr>
        <w:spacing w:line="400" w:lineRule="exact"/>
        <w:ind w:firstLine="480" w:firstLineChars="200"/>
        <w:rPr>
          <w:rFonts w:ascii="仿宋" w:hAnsi="仿宋" w:eastAsia="仿宋"/>
          <w:sz w:val="24"/>
        </w:rPr>
      </w:pPr>
      <w:bookmarkStart w:id="126" w:name="_Toc350864527"/>
      <w:bookmarkStart w:id="127" w:name="_Toc349810624"/>
    </w:p>
    <w:bookmarkEnd w:id="126"/>
    <w:bookmarkEnd w:id="127"/>
    <w:p>
      <w:pPr>
        <w:widowControl/>
        <w:spacing w:line="400" w:lineRule="exact"/>
        <w:jc w:val="center"/>
        <w:rPr>
          <w:rFonts w:ascii="仿宋" w:hAnsi="仿宋" w:eastAsia="仿宋"/>
        </w:rPr>
      </w:pPr>
      <w:r>
        <w:rPr>
          <w:rFonts w:hint="eastAsia" w:ascii="仿宋" w:hAnsi="仿宋" w:eastAsia="仿宋"/>
          <w:b/>
          <w:kern w:val="0"/>
          <w:sz w:val="24"/>
        </w:rPr>
        <w:t>注：其他合同专用条款在合同签订时另商签订。</w:t>
      </w:r>
    </w:p>
    <w:p>
      <w:pPr>
        <w:spacing w:line="360" w:lineRule="auto"/>
        <w:rPr>
          <w:rFonts w:ascii="宋体" w:hAnsi="宋体" w:cs="宋体"/>
        </w:rPr>
      </w:pPr>
    </w:p>
    <w:p>
      <w:pPr>
        <w:widowControl/>
        <w:jc w:val="left"/>
        <w:rPr>
          <w:rFonts w:ascii="Arial" w:hAnsi="Arial" w:eastAsia="黑体"/>
          <w:b/>
          <w:kern w:val="0"/>
          <w:szCs w:val="28"/>
        </w:rPr>
      </w:pPr>
      <w:r>
        <w:br w:type="page"/>
      </w:r>
    </w:p>
    <w:p>
      <w:pPr>
        <w:pStyle w:val="2"/>
        <w:spacing w:before="0" w:after="0" w:line="360" w:lineRule="auto"/>
      </w:pPr>
    </w:p>
    <w:p>
      <w:pPr>
        <w:pStyle w:val="3"/>
        <w:spacing w:line="360" w:lineRule="auto"/>
        <w:rPr>
          <w:rFonts w:ascii="宋体" w:hAnsi="宋体" w:cs="宋体"/>
        </w:rPr>
      </w:pPr>
    </w:p>
    <w:p>
      <w:pPr>
        <w:pStyle w:val="19"/>
        <w:spacing w:after="0" w:line="360" w:lineRule="auto"/>
        <w:ind w:left="0" w:leftChars="0"/>
        <w:rPr>
          <w:rFonts w:ascii="宋体" w:hAnsi="宋体" w:cs="宋体"/>
          <w:b/>
          <w:bCs/>
          <w:sz w:val="28"/>
          <w:szCs w:val="28"/>
        </w:rPr>
      </w:pPr>
      <w:r>
        <w:rPr>
          <w:rFonts w:hint="eastAsia" w:ascii="宋体" w:hAnsi="宋体" w:cs="宋体"/>
          <w:b/>
          <w:bCs/>
          <w:sz w:val="28"/>
          <w:szCs w:val="28"/>
        </w:rPr>
        <w:t>附件一：绵竹市中医医院医院廉政（洁）合同</w:t>
      </w:r>
    </w:p>
    <w:p>
      <w:pPr>
        <w:adjustRightInd w:val="0"/>
        <w:snapToGrid w:val="0"/>
        <w:spacing w:line="540" w:lineRule="exact"/>
        <w:ind w:firstLine="1620" w:firstLineChars="450"/>
        <w:rPr>
          <w:rFonts w:ascii="方正小标宋_GBK" w:eastAsia="方正小标宋_GBK"/>
          <w:sz w:val="36"/>
          <w:szCs w:val="36"/>
        </w:rPr>
      </w:pPr>
      <w:bookmarkStart w:id="128" w:name="_Hlk150349809"/>
      <w:r>
        <w:rPr>
          <w:rFonts w:hint="eastAsia" w:ascii="方正小标宋_GBK" w:eastAsia="方正小标宋_GBK"/>
          <w:sz w:val="36"/>
          <w:szCs w:val="36"/>
        </w:rPr>
        <w:t>绵竹市中医医院医院廉政（洁）合同</w:t>
      </w:r>
      <w:bookmarkEnd w:id="128"/>
    </w:p>
    <w:p>
      <w:pPr>
        <w:adjustRightInd w:val="0"/>
        <w:snapToGrid w:val="0"/>
        <w:spacing w:line="380" w:lineRule="exact"/>
        <w:ind w:firstLine="110" w:firstLineChars="50"/>
        <w:rPr>
          <w:rFonts w:ascii="宋体" w:hAnsi="宋体"/>
          <w:sz w:val="22"/>
        </w:rPr>
      </w:pPr>
      <w:r>
        <w:rPr>
          <w:rFonts w:hint="eastAsia" w:ascii="宋体" w:hAnsi="宋体"/>
          <w:sz w:val="22"/>
        </w:rPr>
        <w:t>甲方（采购方）：绵竹市中医医院</w:t>
      </w:r>
    </w:p>
    <w:p>
      <w:pPr>
        <w:adjustRightInd w:val="0"/>
        <w:snapToGrid w:val="0"/>
        <w:spacing w:line="380" w:lineRule="exact"/>
        <w:ind w:firstLine="110" w:firstLineChars="50"/>
        <w:rPr>
          <w:rFonts w:ascii="宋体" w:hAnsi="宋体"/>
          <w:sz w:val="22"/>
        </w:rPr>
      </w:pPr>
      <w:r>
        <w:rPr>
          <w:rFonts w:hint="eastAsia" w:ascii="宋体" w:hAnsi="宋体"/>
          <w:sz w:val="22"/>
        </w:rPr>
        <w:t>乙方（供应方）：</w:t>
      </w:r>
      <w:r>
        <w:rPr>
          <w:rFonts w:ascii="宋体" w:hAnsi="宋体"/>
          <w:sz w:val="22"/>
        </w:rPr>
        <w:t xml:space="preserve"> </w:t>
      </w:r>
    </w:p>
    <w:p>
      <w:pPr>
        <w:adjustRightInd w:val="0"/>
        <w:snapToGrid w:val="0"/>
        <w:spacing w:line="380" w:lineRule="exact"/>
        <w:ind w:firstLine="550" w:firstLineChars="250"/>
        <w:rPr>
          <w:rFonts w:ascii="宋体" w:hAnsi="宋体"/>
          <w:sz w:val="22"/>
        </w:rPr>
      </w:pPr>
      <w:r>
        <w:rPr>
          <w:rFonts w:hint="eastAsia" w:ascii="宋体" w:hAnsi="宋体"/>
          <w:sz w:val="22"/>
        </w:rPr>
        <w:t>为深入贯彻落实国家卫健委廉洁从业“九项准则”的有关要求，进一步加强医疗卫生行风建设，规范双方购销行为，建立健全防止商业贿赂的长效管理机制，营造公平竞争，诚实守信的购销环境，有效防范商业贿赂，经甲、乙双方协商，同意签订廉洁合同，并共同遵守。</w:t>
      </w:r>
    </w:p>
    <w:p>
      <w:pPr>
        <w:adjustRightInd w:val="0"/>
        <w:snapToGrid w:val="0"/>
        <w:spacing w:line="380" w:lineRule="exact"/>
        <w:ind w:firstLine="440" w:firstLineChars="200"/>
        <w:rPr>
          <w:rFonts w:ascii="宋体" w:hAnsi="宋体"/>
          <w:sz w:val="22"/>
        </w:rPr>
      </w:pPr>
      <w:r>
        <w:rPr>
          <w:rFonts w:hint="eastAsia" w:ascii="宋体" w:hAnsi="宋体"/>
          <w:sz w:val="22"/>
        </w:rPr>
        <w:t>一、甲乙双方应严格执行各级政府关于纠正医药购销领域不正之风和治理商业贿赂的各项文件精神。严格按照《合同法》及购销合同的约定，购销药品、医用设备、医用耗材、医疗器械、办公设备设施、信息工程及软硬件、工程项目建设及其他服务性项目。</w:t>
      </w:r>
    </w:p>
    <w:p>
      <w:pPr>
        <w:adjustRightInd w:val="0"/>
        <w:snapToGrid w:val="0"/>
        <w:spacing w:line="380" w:lineRule="exact"/>
        <w:ind w:firstLine="440" w:firstLineChars="200"/>
        <w:rPr>
          <w:rFonts w:ascii="宋体" w:hAnsi="宋体"/>
          <w:sz w:val="22"/>
        </w:rPr>
      </w:pPr>
      <w:r>
        <w:rPr>
          <w:rFonts w:hint="eastAsia" w:ascii="宋体" w:hAnsi="宋体"/>
          <w:sz w:val="22"/>
        </w:rPr>
        <w:t>二、甲方不得以任何方式向乙方索取红包、回扣、提成，或者索要、收受乙方以其它任何方式提供的礼品、违规商业赞助及费用开支。</w:t>
      </w:r>
    </w:p>
    <w:p>
      <w:pPr>
        <w:adjustRightInd w:val="0"/>
        <w:snapToGrid w:val="0"/>
        <w:spacing w:line="380" w:lineRule="exact"/>
        <w:ind w:firstLine="440" w:firstLineChars="200"/>
        <w:rPr>
          <w:rFonts w:ascii="宋体" w:hAnsi="宋体"/>
          <w:sz w:val="22"/>
        </w:rPr>
      </w:pPr>
      <w:r>
        <w:rPr>
          <w:rFonts w:hint="eastAsia" w:ascii="宋体" w:hAnsi="宋体"/>
          <w:sz w:val="22"/>
        </w:rPr>
        <w:t>三、甲方相关部门工作人员不得以暗示或其它任何方式索要红包、回扣、提成、有价证</w:t>
      </w:r>
      <w:r>
        <w:rPr>
          <w:rFonts w:hint="eastAsia" w:ascii="宋体" w:hAnsi="宋体" w:cs="宋体"/>
          <w:sz w:val="22"/>
        </w:rPr>
        <w:t>劵</w:t>
      </w:r>
      <w:r>
        <w:rPr>
          <w:rFonts w:hint="eastAsia" w:ascii="宋体" w:hAnsi="宋体" w:cs="仿宋_GB2312"/>
          <w:sz w:val="22"/>
        </w:rPr>
        <w:t>、现金、购物卡等。如甲方工作人员暗示或索要，乙方应予以拒绝，并有责任向甲方监督部门反映情况</w:t>
      </w:r>
      <w:r>
        <w:rPr>
          <w:rFonts w:hint="eastAsia" w:ascii="宋体" w:hAnsi="宋体"/>
          <w:sz w:val="22"/>
        </w:rPr>
        <w:t>。</w:t>
      </w:r>
    </w:p>
    <w:p>
      <w:pPr>
        <w:adjustRightInd w:val="0"/>
        <w:snapToGrid w:val="0"/>
        <w:spacing w:line="380" w:lineRule="exact"/>
        <w:ind w:firstLine="440" w:firstLineChars="200"/>
        <w:rPr>
          <w:rFonts w:ascii="宋体" w:hAnsi="宋体"/>
          <w:sz w:val="22"/>
        </w:rPr>
      </w:pPr>
      <w:r>
        <w:rPr>
          <w:rFonts w:hint="eastAsia" w:ascii="宋体" w:hAnsi="宋体"/>
          <w:sz w:val="22"/>
        </w:rPr>
        <w:t>四、甲方工作人员不得采用任何途径和方式，为乙方统计临床科室及医师个人有关医药产品的使用情况及用量等信息，或为乙方统计提供便利。</w:t>
      </w:r>
    </w:p>
    <w:p>
      <w:pPr>
        <w:adjustRightInd w:val="0"/>
        <w:snapToGrid w:val="0"/>
        <w:spacing w:line="380" w:lineRule="exact"/>
        <w:ind w:firstLine="440" w:firstLineChars="200"/>
        <w:rPr>
          <w:rFonts w:ascii="宋体" w:hAnsi="宋体"/>
          <w:sz w:val="22"/>
        </w:rPr>
      </w:pPr>
      <w:r>
        <w:rPr>
          <w:rFonts w:hint="eastAsia" w:ascii="宋体" w:hAnsi="宋体"/>
          <w:sz w:val="22"/>
        </w:rPr>
        <w:t>五、乙方洽谈业务，必须在工作时间到甲方指定的部门办公室进行商谈，不得借故到相关领导、部门负责人及相关工作人员家中访谈并提供任何好处费。</w:t>
      </w:r>
    </w:p>
    <w:p>
      <w:pPr>
        <w:adjustRightInd w:val="0"/>
        <w:snapToGrid w:val="0"/>
        <w:spacing w:line="380" w:lineRule="exact"/>
        <w:ind w:firstLine="440" w:firstLineChars="200"/>
        <w:rPr>
          <w:rFonts w:ascii="宋体" w:hAnsi="宋体"/>
          <w:sz w:val="22"/>
        </w:rPr>
      </w:pPr>
      <w:r>
        <w:rPr>
          <w:rFonts w:hint="eastAsia" w:ascii="宋体" w:hAnsi="宋体"/>
          <w:sz w:val="22"/>
        </w:rPr>
        <w:t>六、乙方不得派销售人员到医院临床/医技科室、诊疗场所以及相关部门进行药品、耗材、设备、试剂等推销活动，不得暗中给甲方工作人员回扣，不得以提成和赠送有价证</w:t>
      </w:r>
      <w:r>
        <w:rPr>
          <w:rFonts w:hint="eastAsia" w:ascii="宋体" w:hAnsi="宋体" w:cs="宋体"/>
          <w:sz w:val="22"/>
        </w:rPr>
        <w:t>劵</w:t>
      </w:r>
      <w:r>
        <w:rPr>
          <w:rFonts w:hint="eastAsia" w:ascii="宋体" w:hAnsi="宋体" w:cs="仿宋_GB2312"/>
          <w:sz w:val="22"/>
        </w:rPr>
        <w:t>、现金、购物卡、宴请、娱乐以及提供国内或境外</w:t>
      </w:r>
      <w:r>
        <w:rPr>
          <w:rFonts w:hint="eastAsia" w:ascii="宋体" w:hAnsi="宋体"/>
          <w:sz w:val="22"/>
        </w:rPr>
        <w:t>学术活动等不正当交易手段影响甲方采购、使用医药产品的选择权。</w:t>
      </w:r>
    </w:p>
    <w:p>
      <w:pPr>
        <w:adjustRightInd w:val="0"/>
        <w:snapToGrid w:val="0"/>
        <w:spacing w:line="380" w:lineRule="exact"/>
        <w:ind w:firstLine="440" w:firstLineChars="200"/>
        <w:rPr>
          <w:rFonts w:ascii="宋体" w:hAnsi="宋体"/>
          <w:sz w:val="22"/>
        </w:rPr>
      </w:pPr>
      <w:r>
        <w:rPr>
          <w:rFonts w:hint="eastAsia" w:ascii="宋体" w:hAnsi="宋体"/>
          <w:sz w:val="22"/>
        </w:rPr>
        <w:t>七、甲乙双方应共同遵守本协议，杜绝弄虚作假、商业欺诈、商业贿赂等行为，要诚实守信，严格履行购销合同，公平公正处理业务关系。</w:t>
      </w:r>
    </w:p>
    <w:p>
      <w:pPr>
        <w:adjustRightInd w:val="0"/>
        <w:snapToGrid w:val="0"/>
        <w:spacing w:line="380" w:lineRule="exact"/>
        <w:ind w:firstLine="440" w:firstLineChars="200"/>
        <w:rPr>
          <w:rFonts w:ascii="宋体" w:hAnsi="宋体"/>
          <w:sz w:val="22"/>
        </w:rPr>
      </w:pPr>
      <w:r>
        <w:rPr>
          <w:rFonts w:hint="eastAsia" w:ascii="宋体" w:hAnsi="宋体"/>
          <w:sz w:val="22"/>
        </w:rPr>
        <w:t>八、乙方如违反以上条款，经查实后，甲方有权终止购销合同，列入不良行为记录，医院两年内不采购该厂商家的产品、服务及其它项目。给甲方造成经济损失的乙方需承担赔偿责任，涉嫌违法的，移交司法机关处理。</w:t>
      </w:r>
    </w:p>
    <w:p>
      <w:pPr>
        <w:adjustRightInd w:val="0"/>
        <w:snapToGrid w:val="0"/>
        <w:spacing w:line="380" w:lineRule="exact"/>
        <w:ind w:firstLine="440" w:firstLineChars="200"/>
        <w:rPr>
          <w:rFonts w:ascii="宋体" w:hAnsi="宋体"/>
          <w:sz w:val="22"/>
        </w:rPr>
      </w:pPr>
      <w:r>
        <w:rPr>
          <w:rFonts w:hint="eastAsia" w:ascii="宋体" w:hAnsi="宋体"/>
          <w:sz w:val="22"/>
        </w:rPr>
        <w:t>九、甲方工作人员违反以上条款的，甲方将按照有关规定给予处理，涉嫌违法的，移交司法机关处理。</w:t>
      </w:r>
    </w:p>
    <w:p>
      <w:pPr>
        <w:adjustRightInd w:val="0"/>
        <w:snapToGrid w:val="0"/>
        <w:spacing w:line="380" w:lineRule="exact"/>
        <w:ind w:firstLine="440" w:firstLineChars="200"/>
        <w:rPr>
          <w:rFonts w:ascii="宋体" w:hAnsi="宋体"/>
          <w:sz w:val="22"/>
        </w:rPr>
      </w:pPr>
      <w:r>
        <w:rPr>
          <w:rFonts w:hint="eastAsia" w:ascii="宋体" w:hAnsi="宋体"/>
          <w:sz w:val="22"/>
        </w:rPr>
        <w:t>十、医院与供应商签订购销合同时需同时签订本廉洁合同</w:t>
      </w:r>
      <w:r>
        <w:rPr>
          <w:rFonts w:ascii="宋体" w:hAnsi="宋体"/>
          <w:sz w:val="22"/>
        </w:rPr>
        <w:t>4</w:t>
      </w:r>
      <w:r>
        <w:rPr>
          <w:rFonts w:hint="eastAsia" w:ascii="宋体" w:hAnsi="宋体"/>
          <w:sz w:val="22"/>
        </w:rPr>
        <w:t>份，医院存3份，供应商存1份，与购销合同同时生效。</w:t>
      </w:r>
    </w:p>
    <w:p>
      <w:pPr>
        <w:adjustRightInd w:val="0"/>
        <w:snapToGrid w:val="0"/>
        <w:spacing w:line="380" w:lineRule="exact"/>
        <w:ind w:firstLine="110" w:firstLineChars="50"/>
        <w:rPr>
          <w:rFonts w:ascii="宋体" w:hAnsi="宋体"/>
          <w:sz w:val="22"/>
        </w:rPr>
      </w:pPr>
      <w:r>
        <w:rPr>
          <w:rFonts w:hint="eastAsia" w:ascii="宋体" w:hAnsi="宋体"/>
          <w:sz w:val="22"/>
        </w:rPr>
        <w:t xml:space="preserve">甲方（盖章）：绵竹市中医医院                乙方（盖章）： </w:t>
      </w:r>
    </w:p>
    <w:p>
      <w:pPr>
        <w:adjustRightInd w:val="0"/>
        <w:snapToGrid w:val="0"/>
        <w:spacing w:line="380" w:lineRule="exact"/>
        <w:ind w:firstLine="110" w:firstLineChars="50"/>
        <w:rPr>
          <w:rFonts w:ascii="宋体" w:hAnsi="宋体"/>
          <w:sz w:val="22"/>
        </w:rPr>
      </w:pPr>
      <w:r>
        <w:rPr>
          <w:rFonts w:hint="eastAsia" w:ascii="宋体" w:hAnsi="宋体"/>
          <w:sz w:val="22"/>
        </w:rPr>
        <w:t>法定代表人（授权代表）：                    法定代表人（授权代表）：</w:t>
      </w:r>
    </w:p>
    <w:p>
      <w:pPr>
        <w:adjustRightInd w:val="0"/>
        <w:snapToGrid w:val="0"/>
        <w:spacing w:line="380" w:lineRule="exact"/>
        <w:ind w:firstLine="110" w:firstLineChars="50"/>
        <w:rPr>
          <w:rFonts w:ascii="宋体" w:hAnsi="宋体"/>
          <w:sz w:val="22"/>
        </w:rPr>
      </w:pPr>
      <w:r>
        <w:rPr>
          <w:rFonts w:hint="eastAsia" w:ascii="宋体" w:hAnsi="宋体"/>
          <w:sz w:val="22"/>
        </w:rPr>
        <w:t>经办人员（签字）：                          经办人员（签字）：</w:t>
      </w:r>
    </w:p>
    <w:p>
      <w:pPr>
        <w:spacing w:line="380" w:lineRule="exact"/>
        <w:ind w:firstLine="660" w:firstLineChars="300"/>
        <w:rPr>
          <w:rFonts w:ascii="宋体" w:hAnsi="宋体"/>
          <w:sz w:val="22"/>
        </w:rPr>
      </w:pPr>
    </w:p>
    <w:p>
      <w:pPr>
        <w:spacing w:line="380" w:lineRule="exact"/>
        <w:ind w:firstLine="660" w:firstLineChars="300"/>
        <w:rPr>
          <w:color w:val="FF0000"/>
          <w:sz w:val="28"/>
          <w:szCs w:val="28"/>
        </w:rPr>
      </w:pPr>
      <w:r>
        <w:rPr>
          <w:rFonts w:hint="eastAsia" w:ascii="宋体" w:hAnsi="宋体"/>
          <w:sz w:val="22"/>
        </w:rPr>
        <w:t xml:space="preserve">年     月    日                                  年    月    日   </w:t>
      </w:r>
    </w:p>
    <w:p>
      <w:pPr>
        <w:widowControl/>
        <w:jc w:val="left"/>
        <w:rPr>
          <w:rFonts w:ascii="仿宋" w:hAnsi="仿宋" w:eastAsia="仿宋" w:cs="仿宋"/>
          <w:sz w:val="32"/>
          <w:szCs w:val="32"/>
        </w:rPr>
      </w:pPr>
    </w:p>
    <w:sectPr>
      <w:footerReference r:id="rId5" w:type="default"/>
      <w:pgSz w:w="11906" w:h="16838"/>
      <w:pgMar w:top="1440" w:right="17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67 -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jnf9cBAACz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hjbhmjMnLE38/P3b+cev88+v&#10;bJn603usKO3eU2IcXsNAubMfyZlkD22w6U+CGMWpu6dLd9UQmUyXVsvVqqSQpNh8IPzi4boPGN8o&#10;sCwZNQ80vtxVcXyHcUydU1I1B3famDxC4/5yEGbyFIn7yDFZcdgNk6AdNCfSQ++A6nQQvnDW0xbU&#10;3NHSc2beOmpyWpjZCLOxmw3hJF2seeRsNG9jXqxEBP2rQyR2mXQqPdabGNEss+xp79Ky/HnOWQ9v&#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Jo53/XAQAAswMAAA4AAAAAAAAAAQAgAAAA&#10;HgEAAGRycy9lMm9Eb2MueG1sUEsFBgAAAAAGAAYAWQEAAGcFAAAAAA==&#10;">
              <v:fill on="f" focussize="0,0"/>
              <v:stroke on="f"/>
              <v:imagedata o:title=""/>
              <o:lock v:ext="edit" aspectratio="f"/>
              <v:textbox inset="0mm,0mm,0mm,0mm" style="mso-fit-shape-to-text:t;">
                <w:txbxContent>
                  <w:p>
                    <w:pPr>
                      <w:pStyle w:val="21"/>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67 -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B137"/>
    <w:multiLevelType w:val="singleLevel"/>
    <w:tmpl w:val="9E13B137"/>
    <w:lvl w:ilvl="0" w:tentative="0">
      <w:start w:val="3"/>
      <w:numFmt w:val="chineseCounting"/>
      <w:suff w:val="nothing"/>
      <w:lvlText w:val="（%1）"/>
      <w:lvlJc w:val="left"/>
      <w:rPr>
        <w:rFonts w:hint="eastAsia"/>
        <w:b/>
        <w:bCs/>
      </w:rPr>
    </w:lvl>
  </w:abstractNum>
  <w:abstractNum w:abstractNumId="1">
    <w:nsid w:val="B5C64AE5"/>
    <w:multiLevelType w:val="singleLevel"/>
    <w:tmpl w:val="B5C64AE5"/>
    <w:lvl w:ilvl="0" w:tentative="0">
      <w:start w:val="1"/>
      <w:numFmt w:val="decimal"/>
      <w:suff w:val="nothing"/>
      <w:lvlText w:val="%1、"/>
      <w:lvlJc w:val="left"/>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62"/>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D0F819F"/>
    <w:multiLevelType w:val="singleLevel"/>
    <w:tmpl w:val="4D0F819F"/>
    <w:lvl w:ilvl="0" w:tentative="0">
      <w:start w:val="1"/>
      <w:numFmt w:val="decimal"/>
      <w:suff w:val="space"/>
      <w:lvlText w:val="%1."/>
      <w:lvlJc w:val="left"/>
    </w:lvl>
  </w:abstractNum>
  <w:abstractNum w:abstractNumId="5">
    <w:nsid w:val="5743662E"/>
    <w:multiLevelType w:val="multilevel"/>
    <w:tmpl w:val="5743662E"/>
    <w:lvl w:ilvl="0" w:tentative="0">
      <w:start w:val="1"/>
      <w:numFmt w:val="japaneseCounting"/>
      <w:lvlText w:val="%1、"/>
      <w:lvlJc w:val="left"/>
      <w:pPr>
        <w:tabs>
          <w:tab w:val="left" w:pos="720"/>
        </w:tabs>
        <w:ind w:left="720" w:hanging="720"/>
      </w:pPr>
      <w:rPr>
        <w:rFonts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9575D05"/>
    <w:multiLevelType w:val="singleLevel"/>
    <w:tmpl w:val="69575D05"/>
    <w:lvl w:ilvl="0" w:tentative="0">
      <w:start w:val="1"/>
      <w:numFmt w:val="decimal"/>
      <w:suff w:val="nothing"/>
      <w:lvlText w:val="%1、"/>
      <w:lvlJc w:val="left"/>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2ZDRhNTE3OGM5NzdkMWE3NWNhOTQ2M2JkNWViYWEifQ=="/>
  </w:docVars>
  <w:rsids>
    <w:rsidRoot w:val="007C12CC"/>
    <w:rsid w:val="00001660"/>
    <w:rsid w:val="00004B89"/>
    <w:rsid w:val="00010A55"/>
    <w:rsid w:val="00010F92"/>
    <w:rsid w:val="00013385"/>
    <w:rsid w:val="00013A8C"/>
    <w:rsid w:val="0001438F"/>
    <w:rsid w:val="00014483"/>
    <w:rsid w:val="00015AD4"/>
    <w:rsid w:val="00017125"/>
    <w:rsid w:val="000176E8"/>
    <w:rsid w:val="00021F2A"/>
    <w:rsid w:val="00022084"/>
    <w:rsid w:val="000222FA"/>
    <w:rsid w:val="0002293A"/>
    <w:rsid w:val="00023E17"/>
    <w:rsid w:val="000246A1"/>
    <w:rsid w:val="00024A16"/>
    <w:rsid w:val="00026E80"/>
    <w:rsid w:val="00030C81"/>
    <w:rsid w:val="00030DE6"/>
    <w:rsid w:val="00031286"/>
    <w:rsid w:val="00031558"/>
    <w:rsid w:val="00032335"/>
    <w:rsid w:val="00032783"/>
    <w:rsid w:val="00034706"/>
    <w:rsid w:val="00035948"/>
    <w:rsid w:val="00040402"/>
    <w:rsid w:val="000408C4"/>
    <w:rsid w:val="00041FE4"/>
    <w:rsid w:val="000451F8"/>
    <w:rsid w:val="00045ACC"/>
    <w:rsid w:val="000462B4"/>
    <w:rsid w:val="00046697"/>
    <w:rsid w:val="0004677D"/>
    <w:rsid w:val="00047873"/>
    <w:rsid w:val="00050590"/>
    <w:rsid w:val="00051366"/>
    <w:rsid w:val="000523DF"/>
    <w:rsid w:val="000526C6"/>
    <w:rsid w:val="00052B12"/>
    <w:rsid w:val="00053337"/>
    <w:rsid w:val="0005434F"/>
    <w:rsid w:val="00054BA4"/>
    <w:rsid w:val="00055034"/>
    <w:rsid w:val="00055C21"/>
    <w:rsid w:val="00056105"/>
    <w:rsid w:val="000567A9"/>
    <w:rsid w:val="00056979"/>
    <w:rsid w:val="00057397"/>
    <w:rsid w:val="00061464"/>
    <w:rsid w:val="0006243C"/>
    <w:rsid w:val="0006264C"/>
    <w:rsid w:val="000657E0"/>
    <w:rsid w:val="00065CFE"/>
    <w:rsid w:val="0006634F"/>
    <w:rsid w:val="0006738D"/>
    <w:rsid w:val="000727F2"/>
    <w:rsid w:val="000731F0"/>
    <w:rsid w:val="000739F4"/>
    <w:rsid w:val="00073B7E"/>
    <w:rsid w:val="00074138"/>
    <w:rsid w:val="000743DD"/>
    <w:rsid w:val="0007488D"/>
    <w:rsid w:val="00074A27"/>
    <w:rsid w:val="0007588A"/>
    <w:rsid w:val="00081A37"/>
    <w:rsid w:val="00082B75"/>
    <w:rsid w:val="000834B0"/>
    <w:rsid w:val="000839BF"/>
    <w:rsid w:val="00084183"/>
    <w:rsid w:val="0008602F"/>
    <w:rsid w:val="000867B4"/>
    <w:rsid w:val="00086A4E"/>
    <w:rsid w:val="000878B4"/>
    <w:rsid w:val="00090600"/>
    <w:rsid w:val="00090A00"/>
    <w:rsid w:val="00092B4C"/>
    <w:rsid w:val="000932AA"/>
    <w:rsid w:val="00093ABA"/>
    <w:rsid w:val="000958DC"/>
    <w:rsid w:val="00095D86"/>
    <w:rsid w:val="000962DA"/>
    <w:rsid w:val="000A1518"/>
    <w:rsid w:val="000A1D01"/>
    <w:rsid w:val="000A2A84"/>
    <w:rsid w:val="000A2B76"/>
    <w:rsid w:val="000A32C6"/>
    <w:rsid w:val="000A3D02"/>
    <w:rsid w:val="000A3D83"/>
    <w:rsid w:val="000A4196"/>
    <w:rsid w:val="000A42C7"/>
    <w:rsid w:val="000A4B2E"/>
    <w:rsid w:val="000A4EA5"/>
    <w:rsid w:val="000A5B58"/>
    <w:rsid w:val="000A7857"/>
    <w:rsid w:val="000B07DD"/>
    <w:rsid w:val="000B0E0C"/>
    <w:rsid w:val="000B0F4B"/>
    <w:rsid w:val="000B19EB"/>
    <w:rsid w:val="000B1C2C"/>
    <w:rsid w:val="000B58C4"/>
    <w:rsid w:val="000B6ABC"/>
    <w:rsid w:val="000B7FD8"/>
    <w:rsid w:val="000C00DD"/>
    <w:rsid w:val="000C0146"/>
    <w:rsid w:val="000C22DB"/>
    <w:rsid w:val="000C2EFC"/>
    <w:rsid w:val="000C3B13"/>
    <w:rsid w:val="000C405E"/>
    <w:rsid w:val="000C4129"/>
    <w:rsid w:val="000C46FA"/>
    <w:rsid w:val="000C4762"/>
    <w:rsid w:val="000C562F"/>
    <w:rsid w:val="000C5D2D"/>
    <w:rsid w:val="000C5FC0"/>
    <w:rsid w:val="000D03B4"/>
    <w:rsid w:val="000D0F0A"/>
    <w:rsid w:val="000D1724"/>
    <w:rsid w:val="000D319D"/>
    <w:rsid w:val="000D3B40"/>
    <w:rsid w:val="000D4073"/>
    <w:rsid w:val="000D4EFB"/>
    <w:rsid w:val="000D705A"/>
    <w:rsid w:val="000D710C"/>
    <w:rsid w:val="000E0A69"/>
    <w:rsid w:val="000E583C"/>
    <w:rsid w:val="000E6476"/>
    <w:rsid w:val="000E6CD7"/>
    <w:rsid w:val="000F422B"/>
    <w:rsid w:val="000F45A9"/>
    <w:rsid w:val="000F6854"/>
    <w:rsid w:val="000F6E2D"/>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178DD"/>
    <w:rsid w:val="00117ADF"/>
    <w:rsid w:val="001212C2"/>
    <w:rsid w:val="0012276E"/>
    <w:rsid w:val="00122B24"/>
    <w:rsid w:val="001239E7"/>
    <w:rsid w:val="00123E53"/>
    <w:rsid w:val="00123FC0"/>
    <w:rsid w:val="00124C53"/>
    <w:rsid w:val="00126265"/>
    <w:rsid w:val="001264CD"/>
    <w:rsid w:val="00126D87"/>
    <w:rsid w:val="00131E1B"/>
    <w:rsid w:val="00131F14"/>
    <w:rsid w:val="001329EB"/>
    <w:rsid w:val="00133F90"/>
    <w:rsid w:val="001345C8"/>
    <w:rsid w:val="0013590F"/>
    <w:rsid w:val="00136485"/>
    <w:rsid w:val="00136D53"/>
    <w:rsid w:val="00141495"/>
    <w:rsid w:val="00141A3F"/>
    <w:rsid w:val="00141A54"/>
    <w:rsid w:val="00142470"/>
    <w:rsid w:val="0014425B"/>
    <w:rsid w:val="001451F2"/>
    <w:rsid w:val="001464DD"/>
    <w:rsid w:val="001500D3"/>
    <w:rsid w:val="00150709"/>
    <w:rsid w:val="00150BFF"/>
    <w:rsid w:val="00151441"/>
    <w:rsid w:val="00152074"/>
    <w:rsid w:val="00153D4C"/>
    <w:rsid w:val="0015550E"/>
    <w:rsid w:val="00155F86"/>
    <w:rsid w:val="00156466"/>
    <w:rsid w:val="00156D44"/>
    <w:rsid w:val="001575FD"/>
    <w:rsid w:val="00160440"/>
    <w:rsid w:val="00161AEF"/>
    <w:rsid w:val="00162078"/>
    <w:rsid w:val="0016341A"/>
    <w:rsid w:val="001648CD"/>
    <w:rsid w:val="001652F8"/>
    <w:rsid w:val="00165833"/>
    <w:rsid w:val="0016762F"/>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285"/>
    <w:rsid w:val="00193802"/>
    <w:rsid w:val="00193E56"/>
    <w:rsid w:val="001961BF"/>
    <w:rsid w:val="00196A94"/>
    <w:rsid w:val="00196B7A"/>
    <w:rsid w:val="001974BF"/>
    <w:rsid w:val="0019756E"/>
    <w:rsid w:val="001A0BE4"/>
    <w:rsid w:val="001A4D34"/>
    <w:rsid w:val="001A67F1"/>
    <w:rsid w:val="001A6D5E"/>
    <w:rsid w:val="001A761A"/>
    <w:rsid w:val="001B053F"/>
    <w:rsid w:val="001B1F0F"/>
    <w:rsid w:val="001B22E9"/>
    <w:rsid w:val="001B2FBD"/>
    <w:rsid w:val="001B334A"/>
    <w:rsid w:val="001B3E32"/>
    <w:rsid w:val="001B3E78"/>
    <w:rsid w:val="001B4B2D"/>
    <w:rsid w:val="001C2713"/>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53EE"/>
    <w:rsid w:val="001F64F5"/>
    <w:rsid w:val="001F79FC"/>
    <w:rsid w:val="001F7DBD"/>
    <w:rsid w:val="0020027D"/>
    <w:rsid w:val="0020131C"/>
    <w:rsid w:val="00203068"/>
    <w:rsid w:val="00205336"/>
    <w:rsid w:val="00206D18"/>
    <w:rsid w:val="0021013C"/>
    <w:rsid w:val="002120D0"/>
    <w:rsid w:val="002125E6"/>
    <w:rsid w:val="0021469C"/>
    <w:rsid w:val="00215638"/>
    <w:rsid w:val="0021668E"/>
    <w:rsid w:val="00217C5B"/>
    <w:rsid w:val="00220283"/>
    <w:rsid w:val="00221948"/>
    <w:rsid w:val="00223227"/>
    <w:rsid w:val="00224333"/>
    <w:rsid w:val="00224CDC"/>
    <w:rsid w:val="002270B2"/>
    <w:rsid w:val="00230304"/>
    <w:rsid w:val="00230D10"/>
    <w:rsid w:val="002313B2"/>
    <w:rsid w:val="00231C4E"/>
    <w:rsid w:val="002320BC"/>
    <w:rsid w:val="002332EA"/>
    <w:rsid w:val="002342C9"/>
    <w:rsid w:val="00235D26"/>
    <w:rsid w:val="00240CB7"/>
    <w:rsid w:val="00241AF6"/>
    <w:rsid w:val="00242277"/>
    <w:rsid w:val="00244015"/>
    <w:rsid w:val="0024529B"/>
    <w:rsid w:val="00245E6C"/>
    <w:rsid w:val="002470DA"/>
    <w:rsid w:val="0025006F"/>
    <w:rsid w:val="00250692"/>
    <w:rsid w:val="002509D0"/>
    <w:rsid w:val="002510B3"/>
    <w:rsid w:val="00252DDB"/>
    <w:rsid w:val="0025359C"/>
    <w:rsid w:val="002554B2"/>
    <w:rsid w:val="00255832"/>
    <w:rsid w:val="00255D4B"/>
    <w:rsid w:val="00262A61"/>
    <w:rsid w:val="00263B9A"/>
    <w:rsid w:val="00265F18"/>
    <w:rsid w:val="002665C5"/>
    <w:rsid w:val="002703E3"/>
    <w:rsid w:val="00272326"/>
    <w:rsid w:val="0027252A"/>
    <w:rsid w:val="00274DE1"/>
    <w:rsid w:val="00276244"/>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56DD"/>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A6D"/>
    <w:rsid w:val="002C4B41"/>
    <w:rsid w:val="002C67ED"/>
    <w:rsid w:val="002C7DDE"/>
    <w:rsid w:val="002D2A3C"/>
    <w:rsid w:val="002D2EE5"/>
    <w:rsid w:val="002D44CE"/>
    <w:rsid w:val="002D5D7E"/>
    <w:rsid w:val="002D6435"/>
    <w:rsid w:val="002D73AE"/>
    <w:rsid w:val="002D769A"/>
    <w:rsid w:val="002E1456"/>
    <w:rsid w:val="002E2016"/>
    <w:rsid w:val="002E372F"/>
    <w:rsid w:val="002E38A1"/>
    <w:rsid w:val="002E3EE5"/>
    <w:rsid w:val="002E4CC9"/>
    <w:rsid w:val="002E53EC"/>
    <w:rsid w:val="002E7B45"/>
    <w:rsid w:val="002F0D48"/>
    <w:rsid w:val="002F32DE"/>
    <w:rsid w:val="002F3919"/>
    <w:rsid w:val="002F5A38"/>
    <w:rsid w:val="002F797B"/>
    <w:rsid w:val="00300012"/>
    <w:rsid w:val="00302602"/>
    <w:rsid w:val="0030262F"/>
    <w:rsid w:val="003034DB"/>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4D5"/>
    <w:rsid w:val="00334551"/>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011F"/>
    <w:rsid w:val="00361262"/>
    <w:rsid w:val="00361622"/>
    <w:rsid w:val="00361C9E"/>
    <w:rsid w:val="00364406"/>
    <w:rsid w:val="00364647"/>
    <w:rsid w:val="00365CED"/>
    <w:rsid w:val="0037029D"/>
    <w:rsid w:val="00370C8A"/>
    <w:rsid w:val="003726F8"/>
    <w:rsid w:val="0037288F"/>
    <w:rsid w:val="00372E53"/>
    <w:rsid w:val="00373951"/>
    <w:rsid w:val="0037402E"/>
    <w:rsid w:val="0037405F"/>
    <w:rsid w:val="00375A5E"/>
    <w:rsid w:val="00375F76"/>
    <w:rsid w:val="0037714C"/>
    <w:rsid w:val="00381E2B"/>
    <w:rsid w:val="00382A01"/>
    <w:rsid w:val="00383BFA"/>
    <w:rsid w:val="00384FE6"/>
    <w:rsid w:val="003851CE"/>
    <w:rsid w:val="00385E98"/>
    <w:rsid w:val="00386475"/>
    <w:rsid w:val="00386948"/>
    <w:rsid w:val="00391031"/>
    <w:rsid w:val="003924E0"/>
    <w:rsid w:val="00394101"/>
    <w:rsid w:val="00395323"/>
    <w:rsid w:val="00395403"/>
    <w:rsid w:val="00395A66"/>
    <w:rsid w:val="0039654A"/>
    <w:rsid w:val="0039658A"/>
    <w:rsid w:val="00396685"/>
    <w:rsid w:val="00396BD7"/>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C62"/>
    <w:rsid w:val="003C1E7C"/>
    <w:rsid w:val="003C5114"/>
    <w:rsid w:val="003C668B"/>
    <w:rsid w:val="003D1437"/>
    <w:rsid w:val="003D23BF"/>
    <w:rsid w:val="003D3B7C"/>
    <w:rsid w:val="003D629B"/>
    <w:rsid w:val="003D6FFA"/>
    <w:rsid w:val="003D72B6"/>
    <w:rsid w:val="003E06B9"/>
    <w:rsid w:val="003E35F5"/>
    <w:rsid w:val="003E44CB"/>
    <w:rsid w:val="003E5C6E"/>
    <w:rsid w:val="003E6755"/>
    <w:rsid w:val="003F188D"/>
    <w:rsid w:val="003F2938"/>
    <w:rsid w:val="003F4247"/>
    <w:rsid w:val="003F4F88"/>
    <w:rsid w:val="003F7462"/>
    <w:rsid w:val="00400273"/>
    <w:rsid w:val="00400415"/>
    <w:rsid w:val="00400F8F"/>
    <w:rsid w:val="00401075"/>
    <w:rsid w:val="00403397"/>
    <w:rsid w:val="00404202"/>
    <w:rsid w:val="00405597"/>
    <w:rsid w:val="004056A0"/>
    <w:rsid w:val="0040669F"/>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DE2"/>
    <w:rsid w:val="0043241B"/>
    <w:rsid w:val="0043301F"/>
    <w:rsid w:val="00433462"/>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333"/>
    <w:rsid w:val="004507D2"/>
    <w:rsid w:val="00451934"/>
    <w:rsid w:val="004522CD"/>
    <w:rsid w:val="00453DA2"/>
    <w:rsid w:val="00454103"/>
    <w:rsid w:val="004541EE"/>
    <w:rsid w:val="004569C9"/>
    <w:rsid w:val="00457964"/>
    <w:rsid w:val="004643AF"/>
    <w:rsid w:val="00464C62"/>
    <w:rsid w:val="00465A54"/>
    <w:rsid w:val="004677D8"/>
    <w:rsid w:val="00471F07"/>
    <w:rsid w:val="00472497"/>
    <w:rsid w:val="00472927"/>
    <w:rsid w:val="00474121"/>
    <w:rsid w:val="004746B7"/>
    <w:rsid w:val="00474A2F"/>
    <w:rsid w:val="004753B1"/>
    <w:rsid w:val="00476556"/>
    <w:rsid w:val="00480F16"/>
    <w:rsid w:val="004810BE"/>
    <w:rsid w:val="00483114"/>
    <w:rsid w:val="004837E8"/>
    <w:rsid w:val="00484A3D"/>
    <w:rsid w:val="0048581D"/>
    <w:rsid w:val="004859C3"/>
    <w:rsid w:val="004859EF"/>
    <w:rsid w:val="00485EDF"/>
    <w:rsid w:val="00490A1F"/>
    <w:rsid w:val="004924E2"/>
    <w:rsid w:val="0049282E"/>
    <w:rsid w:val="0049425B"/>
    <w:rsid w:val="00494369"/>
    <w:rsid w:val="004943EA"/>
    <w:rsid w:val="00494E0D"/>
    <w:rsid w:val="0049609D"/>
    <w:rsid w:val="004967DA"/>
    <w:rsid w:val="004A0510"/>
    <w:rsid w:val="004A11B8"/>
    <w:rsid w:val="004A2B4F"/>
    <w:rsid w:val="004A6596"/>
    <w:rsid w:val="004A7182"/>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02C"/>
    <w:rsid w:val="004D17B5"/>
    <w:rsid w:val="004D1CAF"/>
    <w:rsid w:val="004D1D4C"/>
    <w:rsid w:val="004D2D2B"/>
    <w:rsid w:val="004D2F1E"/>
    <w:rsid w:val="004D438D"/>
    <w:rsid w:val="004D6AA0"/>
    <w:rsid w:val="004D6EA3"/>
    <w:rsid w:val="004D7C5A"/>
    <w:rsid w:val="004E095F"/>
    <w:rsid w:val="004E0DC1"/>
    <w:rsid w:val="004E163E"/>
    <w:rsid w:val="004E2BA2"/>
    <w:rsid w:val="004E3AD2"/>
    <w:rsid w:val="004E4ECE"/>
    <w:rsid w:val="004E5AA9"/>
    <w:rsid w:val="004E77BC"/>
    <w:rsid w:val="004E7C5E"/>
    <w:rsid w:val="004F053A"/>
    <w:rsid w:val="004F2BA1"/>
    <w:rsid w:val="004F4A10"/>
    <w:rsid w:val="004F6640"/>
    <w:rsid w:val="004F6D0A"/>
    <w:rsid w:val="00500450"/>
    <w:rsid w:val="005023EE"/>
    <w:rsid w:val="00503CA8"/>
    <w:rsid w:val="0051137A"/>
    <w:rsid w:val="00511759"/>
    <w:rsid w:val="00511F85"/>
    <w:rsid w:val="00512F35"/>
    <w:rsid w:val="00515F84"/>
    <w:rsid w:val="00516884"/>
    <w:rsid w:val="00516E92"/>
    <w:rsid w:val="0051796C"/>
    <w:rsid w:val="0052067D"/>
    <w:rsid w:val="0052149F"/>
    <w:rsid w:val="005234C2"/>
    <w:rsid w:val="00523933"/>
    <w:rsid w:val="00524715"/>
    <w:rsid w:val="005275DB"/>
    <w:rsid w:val="00534655"/>
    <w:rsid w:val="0053654A"/>
    <w:rsid w:val="005379D8"/>
    <w:rsid w:val="00537DFF"/>
    <w:rsid w:val="005437F7"/>
    <w:rsid w:val="0054403C"/>
    <w:rsid w:val="00544138"/>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651A"/>
    <w:rsid w:val="0055769A"/>
    <w:rsid w:val="005603D7"/>
    <w:rsid w:val="00560776"/>
    <w:rsid w:val="005648BE"/>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B77"/>
    <w:rsid w:val="00586DE8"/>
    <w:rsid w:val="005873E6"/>
    <w:rsid w:val="005876D8"/>
    <w:rsid w:val="00590091"/>
    <w:rsid w:val="00590E2C"/>
    <w:rsid w:val="00591013"/>
    <w:rsid w:val="005913FB"/>
    <w:rsid w:val="0059168E"/>
    <w:rsid w:val="00591E80"/>
    <w:rsid w:val="00594C5B"/>
    <w:rsid w:val="0059553F"/>
    <w:rsid w:val="00595B7E"/>
    <w:rsid w:val="005A2DC2"/>
    <w:rsid w:val="005A6B6C"/>
    <w:rsid w:val="005A79EC"/>
    <w:rsid w:val="005B031E"/>
    <w:rsid w:val="005B0EA2"/>
    <w:rsid w:val="005B2590"/>
    <w:rsid w:val="005B25C9"/>
    <w:rsid w:val="005B2A2E"/>
    <w:rsid w:val="005B3818"/>
    <w:rsid w:val="005B4B72"/>
    <w:rsid w:val="005B52B1"/>
    <w:rsid w:val="005B5AEB"/>
    <w:rsid w:val="005C08FA"/>
    <w:rsid w:val="005C10F2"/>
    <w:rsid w:val="005C1360"/>
    <w:rsid w:val="005C3E17"/>
    <w:rsid w:val="005D1258"/>
    <w:rsid w:val="005D3DE5"/>
    <w:rsid w:val="005D691C"/>
    <w:rsid w:val="005D72BC"/>
    <w:rsid w:val="005D7BAC"/>
    <w:rsid w:val="005E0927"/>
    <w:rsid w:val="005E0EB8"/>
    <w:rsid w:val="005E1042"/>
    <w:rsid w:val="005E290B"/>
    <w:rsid w:val="005E3999"/>
    <w:rsid w:val="005E61DB"/>
    <w:rsid w:val="005F038E"/>
    <w:rsid w:val="005F08CD"/>
    <w:rsid w:val="005F28F4"/>
    <w:rsid w:val="005F32FF"/>
    <w:rsid w:val="005F39AC"/>
    <w:rsid w:val="005F5B60"/>
    <w:rsid w:val="005F6B77"/>
    <w:rsid w:val="006003EE"/>
    <w:rsid w:val="00601FCD"/>
    <w:rsid w:val="00605136"/>
    <w:rsid w:val="0060560B"/>
    <w:rsid w:val="00606299"/>
    <w:rsid w:val="006063A3"/>
    <w:rsid w:val="00606464"/>
    <w:rsid w:val="00606E5C"/>
    <w:rsid w:val="0060753A"/>
    <w:rsid w:val="00610DCC"/>
    <w:rsid w:val="006120A9"/>
    <w:rsid w:val="00612C9E"/>
    <w:rsid w:val="00614B06"/>
    <w:rsid w:val="00614DE1"/>
    <w:rsid w:val="00615CBA"/>
    <w:rsid w:val="006169D0"/>
    <w:rsid w:val="00616C8F"/>
    <w:rsid w:val="00616DA0"/>
    <w:rsid w:val="00616EAA"/>
    <w:rsid w:val="0062060B"/>
    <w:rsid w:val="00621870"/>
    <w:rsid w:val="00626234"/>
    <w:rsid w:val="00627813"/>
    <w:rsid w:val="00630CE7"/>
    <w:rsid w:val="006312A1"/>
    <w:rsid w:val="006320A2"/>
    <w:rsid w:val="00632E94"/>
    <w:rsid w:val="00633038"/>
    <w:rsid w:val="00633ECA"/>
    <w:rsid w:val="00633FA7"/>
    <w:rsid w:val="006345DE"/>
    <w:rsid w:val="00635F76"/>
    <w:rsid w:val="00640178"/>
    <w:rsid w:val="006414D0"/>
    <w:rsid w:val="00643045"/>
    <w:rsid w:val="00643B96"/>
    <w:rsid w:val="0064574D"/>
    <w:rsid w:val="00645C46"/>
    <w:rsid w:val="00645C78"/>
    <w:rsid w:val="00646470"/>
    <w:rsid w:val="00646570"/>
    <w:rsid w:val="00650EC4"/>
    <w:rsid w:val="00652426"/>
    <w:rsid w:val="0065519A"/>
    <w:rsid w:val="0065793E"/>
    <w:rsid w:val="006622F0"/>
    <w:rsid w:val="00662776"/>
    <w:rsid w:val="00663588"/>
    <w:rsid w:val="00665609"/>
    <w:rsid w:val="006663AF"/>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46A9"/>
    <w:rsid w:val="0068510B"/>
    <w:rsid w:val="0068758E"/>
    <w:rsid w:val="00687E71"/>
    <w:rsid w:val="00690343"/>
    <w:rsid w:val="00691C24"/>
    <w:rsid w:val="00692463"/>
    <w:rsid w:val="00693EA5"/>
    <w:rsid w:val="006959B9"/>
    <w:rsid w:val="00695A3E"/>
    <w:rsid w:val="00697D51"/>
    <w:rsid w:val="006A0565"/>
    <w:rsid w:val="006A0C8E"/>
    <w:rsid w:val="006A2C90"/>
    <w:rsid w:val="006A357E"/>
    <w:rsid w:val="006A45A1"/>
    <w:rsid w:val="006A4E33"/>
    <w:rsid w:val="006A5390"/>
    <w:rsid w:val="006A6791"/>
    <w:rsid w:val="006A7FB3"/>
    <w:rsid w:val="006A7FB6"/>
    <w:rsid w:val="006B3179"/>
    <w:rsid w:val="006B3693"/>
    <w:rsid w:val="006B43B6"/>
    <w:rsid w:val="006B6634"/>
    <w:rsid w:val="006B728F"/>
    <w:rsid w:val="006B7390"/>
    <w:rsid w:val="006B73C5"/>
    <w:rsid w:val="006B791C"/>
    <w:rsid w:val="006C2713"/>
    <w:rsid w:val="006C28C6"/>
    <w:rsid w:val="006C29AE"/>
    <w:rsid w:val="006C34E1"/>
    <w:rsid w:val="006C35AB"/>
    <w:rsid w:val="006C434D"/>
    <w:rsid w:val="006C4542"/>
    <w:rsid w:val="006C5CD3"/>
    <w:rsid w:val="006C5DBB"/>
    <w:rsid w:val="006D13BF"/>
    <w:rsid w:val="006D1852"/>
    <w:rsid w:val="006D2D0E"/>
    <w:rsid w:val="006D35CE"/>
    <w:rsid w:val="006D4885"/>
    <w:rsid w:val="006D4E10"/>
    <w:rsid w:val="006D539E"/>
    <w:rsid w:val="006D634E"/>
    <w:rsid w:val="006D73C5"/>
    <w:rsid w:val="006D7AEE"/>
    <w:rsid w:val="006E0A86"/>
    <w:rsid w:val="006E0F4A"/>
    <w:rsid w:val="006E1B6F"/>
    <w:rsid w:val="006E280B"/>
    <w:rsid w:val="006E3610"/>
    <w:rsid w:val="006E3819"/>
    <w:rsid w:val="006E3977"/>
    <w:rsid w:val="006E3EA3"/>
    <w:rsid w:val="006E553A"/>
    <w:rsid w:val="006E57C3"/>
    <w:rsid w:val="006E5B7C"/>
    <w:rsid w:val="006E6C7E"/>
    <w:rsid w:val="006E7778"/>
    <w:rsid w:val="006F19FC"/>
    <w:rsid w:val="006F66CA"/>
    <w:rsid w:val="006F6F4D"/>
    <w:rsid w:val="006F72D9"/>
    <w:rsid w:val="006F74F3"/>
    <w:rsid w:val="00701D8C"/>
    <w:rsid w:val="007038FC"/>
    <w:rsid w:val="00703E8A"/>
    <w:rsid w:val="00704022"/>
    <w:rsid w:val="00706597"/>
    <w:rsid w:val="007068BA"/>
    <w:rsid w:val="00707B59"/>
    <w:rsid w:val="00710A76"/>
    <w:rsid w:val="007115FF"/>
    <w:rsid w:val="0071161C"/>
    <w:rsid w:val="007156EA"/>
    <w:rsid w:val="00716115"/>
    <w:rsid w:val="00716B69"/>
    <w:rsid w:val="00717C5F"/>
    <w:rsid w:val="00721582"/>
    <w:rsid w:val="00721914"/>
    <w:rsid w:val="007236E6"/>
    <w:rsid w:val="0072427E"/>
    <w:rsid w:val="0073057D"/>
    <w:rsid w:val="00730609"/>
    <w:rsid w:val="00731DA2"/>
    <w:rsid w:val="0073276D"/>
    <w:rsid w:val="00732B50"/>
    <w:rsid w:val="0073352D"/>
    <w:rsid w:val="00734122"/>
    <w:rsid w:val="007352A4"/>
    <w:rsid w:val="00736FE3"/>
    <w:rsid w:val="00736FE9"/>
    <w:rsid w:val="00737F15"/>
    <w:rsid w:val="0074082A"/>
    <w:rsid w:val="00741275"/>
    <w:rsid w:val="00741E69"/>
    <w:rsid w:val="007423F5"/>
    <w:rsid w:val="00742877"/>
    <w:rsid w:val="0074393D"/>
    <w:rsid w:val="00743991"/>
    <w:rsid w:val="00746AD4"/>
    <w:rsid w:val="00750B7E"/>
    <w:rsid w:val="007515C4"/>
    <w:rsid w:val="007522B7"/>
    <w:rsid w:val="0075277D"/>
    <w:rsid w:val="007540CC"/>
    <w:rsid w:val="00755A08"/>
    <w:rsid w:val="00756231"/>
    <w:rsid w:val="00756FF3"/>
    <w:rsid w:val="00757287"/>
    <w:rsid w:val="00757D3C"/>
    <w:rsid w:val="007604E9"/>
    <w:rsid w:val="00761D99"/>
    <w:rsid w:val="00761F36"/>
    <w:rsid w:val="00762466"/>
    <w:rsid w:val="00763F24"/>
    <w:rsid w:val="00764146"/>
    <w:rsid w:val="007646F7"/>
    <w:rsid w:val="00764BF3"/>
    <w:rsid w:val="007650F7"/>
    <w:rsid w:val="0076635D"/>
    <w:rsid w:val="007663CC"/>
    <w:rsid w:val="00766C89"/>
    <w:rsid w:val="00766D98"/>
    <w:rsid w:val="007673B6"/>
    <w:rsid w:val="00770627"/>
    <w:rsid w:val="007707AA"/>
    <w:rsid w:val="00772D80"/>
    <w:rsid w:val="00773E62"/>
    <w:rsid w:val="00774962"/>
    <w:rsid w:val="00774999"/>
    <w:rsid w:val="00775F64"/>
    <w:rsid w:val="00776970"/>
    <w:rsid w:val="00777FC5"/>
    <w:rsid w:val="0078096B"/>
    <w:rsid w:val="00780DCA"/>
    <w:rsid w:val="007814DE"/>
    <w:rsid w:val="00781660"/>
    <w:rsid w:val="007818C9"/>
    <w:rsid w:val="00782920"/>
    <w:rsid w:val="00783C74"/>
    <w:rsid w:val="00784BD9"/>
    <w:rsid w:val="0078530B"/>
    <w:rsid w:val="00785421"/>
    <w:rsid w:val="007865E1"/>
    <w:rsid w:val="007866F2"/>
    <w:rsid w:val="00786992"/>
    <w:rsid w:val="007876C2"/>
    <w:rsid w:val="00790706"/>
    <w:rsid w:val="00797D6F"/>
    <w:rsid w:val="007A009E"/>
    <w:rsid w:val="007A01F7"/>
    <w:rsid w:val="007A0F8C"/>
    <w:rsid w:val="007A13C0"/>
    <w:rsid w:val="007A4490"/>
    <w:rsid w:val="007A4EE5"/>
    <w:rsid w:val="007A4F56"/>
    <w:rsid w:val="007A7069"/>
    <w:rsid w:val="007A70D1"/>
    <w:rsid w:val="007A740C"/>
    <w:rsid w:val="007A7526"/>
    <w:rsid w:val="007A7C36"/>
    <w:rsid w:val="007B100D"/>
    <w:rsid w:val="007B1854"/>
    <w:rsid w:val="007B2164"/>
    <w:rsid w:val="007B283B"/>
    <w:rsid w:val="007B2F12"/>
    <w:rsid w:val="007B5655"/>
    <w:rsid w:val="007B5FA8"/>
    <w:rsid w:val="007B6900"/>
    <w:rsid w:val="007B7884"/>
    <w:rsid w:val="007C0294"/>
    <w:rsid w:val="007C12CC"/>
    <w:rsid w:val="007C1EF9"/>
    <w:rsid w:val="007C3B0F"/>
    <w:rsid w:val="007C563E"/>
    <w:rsid w:val="007C6221"/>
    <w:rsid w:val="007D147E"/>
    <w:rsid w:val="007D18A9"/>
    <w:rsid w:val="007D2B50"/>
    <w:rsid w:val="007D39E5"/>
    <w:rsid w:val="007D425A"/>
    <w:rsid w:val="007D54E9"/>
    <w:rsid w:val="007D5A19"/>
    <w:rsid w:val="007E193D"/>
    <w:rsid w:val="007E31A6"/>
    <w:rsid w:val="007E37B8"/>
    <w:rsid w:val="007E4854"/>
    <w:rsid w:val="007E4932"/>
    <w:rsid w:val="007E4F90"/>
    <w:rsid w:val="007E579B"/>
    <w:rsid w:val="007F00ED"/>
    <w:rsid w:val="007F2474"/>
    <w:rsid w:val="007F5FAD"/>
    <w:rsid w:val="007F620C"/>
    <w:rsid w:val="008004E8"/>
    <w:rsid w:val="00801001"/>
    <w:rsid w:val="00801B05"/>
    <w:rsid w:val="008025D3"/>
    <w:rsid w:val="00804EF7"/>
    <w:rsid w:val="00807A32"/>
    <w:rsid w:val="00807BB1"/>
    <w:rsid w:val="008102C8"/>
    <w:rsid w:val="008103A7"/>
    <w:rsid w:val="00810C97"/>
    <w:rsid w:val="0081260B"/>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765"/>
    <w:rsid w:val="00831AF4"/>
    <w:rsid w:val="0083533B"/>
    <w:rsid w:val="00835E74"/>
    <w:rsid w:val="00836E9F"/>
    <w:rsid w:val="008373DB"/>
    <w:rsid w:val="00840B26"/>
    <w:rsid w:val="00840D1C"/>
    <w:rsid w:val="00841CA6"/>
    <w:rsid w:val="008423E2"/>
    <w:rsid w:val="008435CC"/>
    <w:rsid w:val="00843A50"/>
    <w:rsid w:val="00843C8D"/>
    <w:rsid w:val="00844361"/>
    <w:rsid w:val="00844AFE"/>
    <w:rsid w:val="00845524"/>
    <w:rsid w:val="00847236"/>
    <w:rsid w:val="00847D8B"/>
    <w:rsid w:val="008510BC"/>
    <w:rsid w:val="00851335"/>
    <w:rsid w:val="00851D92"/>
    <w:rsid w:val="0085235B"/>
    <w:rsid w:val="00852BC0"/>
    <w:rsid w:val="00852E08"/>
    <w:rsid w:val="00855B24"/>
    <w:rsid w:val="0085768B"/>
    <w:rsid w:val="00857EA5"/>
    <w:rsid w:val="00863B9D"/>
    <w:rsid w:val="00865464"/>
    <w:rsid w:val="0087069A"/>
    <w:rsid w:val="008708ED"/>
    <w:rsid w:val="0087135D"/>
    <w:rsid w:val="00874451"/>
    <w:rsid w:val="00875714"/>
    <w:rsid w:val="00877038"/>
    <w:rsid w:val="00882E0C"/>
    <w:rsid w:val="008834FA"/>
    <w:rsid w:val="00885488"/>
    <w:rsid w:val="00885590"/>
    <w:rsid w:val="00887A37"/>
    <w:rsid w:val="008944AF"/>
    <w:rsid w:val="0089587E"/>
    <w:rsid w:val="0089676C"/>
    <w:rsid w:val="008970D5"/>
    <w:rsid w:val="00897B8F"/>
    <w:rsid w:val="008A0665"/>
    <w:rsid w:val="008A0B92"/>
    <w:rsid w:val="008A1079"/>
    <w:rsid w:val="008A1875"/>
    <w:rsid w:val="008A1A9C"/>
    <w:rsid w:val="008A3B23"/>
    <w:rsid w:val="008A3E63"/>
    <w:rsid w:val="008A4078"/>
    <w:rsid w:val="008A51A9"/>
    <w:rsid w:val="008A721A"/>
    <w:rsid w:val="008B0085"/>
    <w:rsid w:val="008B0D83"/>
    <w:rsid w:val="008B2B51"/>
    <w:rsid w:val="008B3283"/>
    <w:rsid w:val="008B346E"/>
    <w:rsid w:val="008B4E2A"/>
    <w:rsid w:val="008B5136"/>
    <w:rsid w:val="008B68FD"/>
    <w:rsid w:val="008C2E09"/>
    <w:rsid w:val="008C32D0"/>
    <w:rsid w:val="008C3677"/>
    <w:rsid w:val="008C3970"/>
    <w:rsid w:val="008C3B4E"/>
    <w:rsid w:val="008C48F8"/>
    <w:rsid w:val="008D3C61"/>
    <w:rsid w:val="008D4DE9"/>
    <w:rsid w:val="008D6485"/>
    <w:rsid w:val="008D706D"/>
    <w:rsid w:val="008E0B22"/>
    <w:rsid w:val="008E1ADA"/>
    <w:rsid w:val="008E1C35"/>
    <w:rsid w:val="008E20FB"/>
    <w:rsid w:val="008E2427"/>
    <w:rsid w:val="008E46ED"/>
    <w:rsid w:val="008E5112"/>
    <w:rsid w:val="008E512D"/>
    <w:rsid w:val="008E5891"/>
    <w:rsid w:val="008E5F09"/>
    <w:rsid w:val="008F1A08"/>
    <w:rsid w:val="008F1DDA"/>
    <w:rsid w:val="008F2108"/>
    <w:rsid w:val="008F39B8"/>
    <w:rsid w:val="008F6405"/>
    <w:rsid w:val="008F6B8B"/>
    <w:rsid w:val="00901748"/>
    <w:rsid w:val="009018E5"/>
    <w:rsid w:val="009019CF"/>
    <w:rsid w:val="00901C1E"/>
    <w:rsid w:val="00902CF4"/>
    <w:rsid w:val="0090478A"/>
    <w:rsid w:val="009056D3"/>
    <w:rsid w:val="00905841"/>
    <w:rsid w:val="00906051"/>
    <w:rsid w:val="00907D77"/>
    <w:rsid w:val="00910F99"/>
    <w:rsid w:val="00914BDD"/>
    <w:rsid w:val="00915CC6"/>
    <w:rsid w:val="00916557"/>
    <w:rsid w:val="0091761E"/>
    <w:rsid w:val="009204A0"/>
    <w:rsid w:val="00920FF1"/>
    <w:rsid w:val="00921695"/>
    <w:rsid w:val="009221E3"/>
    <w:rsid w:val="0092358B"/>
    <w:rsid w:val="009235E0"/>
    <w:rsid w:val="00924A8B"/>
    <w:rsid w:val="00924B5E"/>
    <w:rsid w:val="0092521F"/>
    <w:rsid w:val="0092555F"/>
    <w:rsid w:val="00926E97"/>
    <w:rsid w:val="0092700A"/>
    <w:rsid w:val="00927144"/>
    <w:rsid w:val="0093058F"/>
    <w:rsid w:val="009306D2"/>
    <w:rsid w:val="00931F6A"/>
    <w:rsid w:val="00932A46"/>
    <w:rsid w:val="00933D99"/>
    <w:rsid w:val="009346ED"/>
    <w:rsid w:val="00935053"/>
    <w:rsid w:val="0093520D"/>
    <w:rsid w:val="0093790A"/>
    <w:rsid w:val="00941714"/>
    <w:rsid w:val="009417EE"/>
    <w:rsid w:val="00945A9B"/>
    <w:rsid w:val="00951129"/>
    <w:rsid w:val="00951C0F"/>
    <w:rsid w:val="00953489"/>
    <w:rsid w:val="00954A78"/>
    <w:rsid w:val="009618EC"/>
    <w:rsid w:val="00961BBD"/>
    <w:rsid w:val="0096295D"/>
    <w:rsid w:val="00964479"/>
    <w:rsid w:val="00964AA1"/>
    <w:rsid w:val="00966E0E"/>
    <w:rsid w:val="0097195D"/>
    <w:rsid w:val="009721A4"/>
    <w:rsid w:val="00972500"/>
    <w:rsid w:val="009727F4"/>
    <w:rsid w:val="00972975"/>
    <w:rsid w:val="00973FEF"/>
    <w:rsid w:val="009752EE"/>
    <w:rsid w:val="00977F1D"/>
    <w:rsid w:val="00980F49"/>
    <w:rsid w:val="0098255F"/>
    <w:rsid w:val="0098261E"/>
    <w:rsid w:val="00982994"/>
    <w:rsid w:val="009834E4"/>
    <w:rsid w:val="0098432A"/>
    <w:rsid w:val="009844F8"/>
    <w:rsid w:val="0098675D"/>
    <w:rsid w:val="00987223"/>
    <w:rsid w:val="00987F3D"/>
    <w:rsid w:val="00990E2B"/>
    <w:rsid w:val="00994270"/>
    <w:rsid w:val="0099514C"/>
    <w:rsid w:val="0099539E"/>
    <w:rsid w:val="00996CE3"/>
    <w:rsid w:val="00996F0B"/>
    <w:rsid w:val="009A07C7"/>
    <w:rsid w:val="009A0958"/>
    <w:rsid w:val="009A1FE1"/>
    <w:rsid w:val="009A4BD5"/>
    <w:rsid w:val="009A4DCC"/>
    <w:rsid w:val="009A4F79"/>
    <w:rsid w:val="009A5259"/>
    <w:rsid w:val="009A54CF"/>
    <w:rsid w:val="009A636B"/>
    <w:rsid w:val="009A6CC8"/>
    <w:rsid w:val="009A7416"/>
    <w:rsid w:val="009A7668"/>
    <w:rsid w:val="009B002F"/>
    <w:rsid w:val="009B520F"/>
    <w:rsid w:val="009B6998"/>
    <w:rsid w:val="009C07C7"/>
    <w:rsid w:val="009C17E0"/>
    <w:rsid w:val="009C1C16"/>
    <w:rsid w:val="009C21A8"/>
    <w:rsid w:val="009C2E8A"/>
    <w:rsid w:val="009C58FC"/>
    <w:rsid w:val="009C6B3F"/>
    <w:rsid w:val="009D004A"/>
    <w:rsid w:val="009D0197"/>
    <w:rsid w:val="009D19AE"/>
    <w:rsid w:val="009D1FA3"/>
    <w:rsid w:val="009D2805"/>
    <w:rsid w:val="009D316E"/>
    <w:rsid w:val="009D3609"/>
    <w:rsid w:val="009D7994"/>
    <w:rsid w:val="009E0509"/>
    <w:rsid w:val="009E1712"/>
    <w:rsid w:val="009E3963"/>
    <w:rsid w:val="009E46B1"/>
    <w:rsid w:val="009E57B6"/>
    <w:rsid w:val="009E7AD9"/>
    <w:rsid w:val="009F1FFE"/>
    <w:rsid w:val="009F31B2"/>
    <w:rsid w:val="009F34EB"/>
    <w:rsid w:val="009F4855"/>
    <w:rsid w:val="009F60DF"/>
    <w:rsid w:val="00A030EA"/>
    <w:rsid w:val="00A04B08"/>
    <w:rsid w:val="00A04C2D"/>
    <w:rsid w:val="00A04DCF"/>
    <w:rsid w:val="00A066BF"/>
    <w:rsid w:val="00A0727B"/>
    <w:rsid w:val="00A075EF"/>
    <w:rsid w:val="00A0776C"/>
    <w:rsid w:val="00A100BF"/>
    <w:rsid w:val="00A112EC"/>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1287"/>
    <w:rsid w:val="00A42BBA"/>
    <w:rsid w:val="00A450A0"/>
    <w:rsid w:val="00A4520A"/>
    <w:rsid w:val="00A46D08"/>
    <w:rsid w:val="00A47CB3"/>
    <w:rsid w:val="00A51A79"/>
    <w:rsid w:val="00A53021"/>
    <w:rsid w:val="00A53A2C"/>
    <w:rsid w:val="00A55909"/>
    <w:rsid w:val="00A55C3B"/>
    <w:rsid w:val="00A56417"/>
    <w:rsid w:val="00A57448"/>
    <w:rsid w:val="00A6030C"/>
    <w:rsid w:val="00A6163E"/>
    <w:rsid w:val="00A650AA"/>
    <w:rsid w:val="00A65E47"/>
    <w:rsid w:val="00A65EA3"/>
    <w:rsid w:val="00A66011"/>
    <w:rsid w:val="00A67649"/>
    <w:rsid w:val="00A678AE"/>
    <w:rsid w:val="00A67908"/>
    <w:rsid w:val="00A70125"/>
    <w:rsid w:val="00A708C8"/>
    <w:rsid w:val="00A70FA9"/>
    <w:rsid w:val="00A71F21"/>
    <w:rsid w:val="00A71F44"/>
    <w:rsid w:val="00A737B7"/>
    <w:rsid w:val="00A73F38"/>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C2E"/>
    <w:rsid w:val="00AA4870"/>
    <w:rsid w:val="00AA4A6D"/>
    <w:rsid w:val="00AA7784"/>
    <w:rsid w:val="00AB11E7"/>
    <w:rsid w:val="00AB1C39"/>
    <w:rsid w:val="00AB2414"/>
    <w:rsid w:val="00AB55D0"/>
    <w:rsid w:val="00AB56FB"/>
    <w:rsid w:val="00AB5C91"/>
    <w:rsid w:val="00AB60F8"/>
    <w:rsid w:val="00AB6EB6"/>
    <w:rsid w:val="00AC2D2E"/>
    <w:rsid w:val="00AC301A"/>
    <w:rsid w:val="00AC3246"/>
    <w:rsid w:val="00AC3317"/>
    <w:rsid w:val="00AC35D7"/>
    <w:rsid w:val="00AC3B6F"/>
    <w:rsid w:val="00AC550F"/>
    <w:rsid w:val="00AC611F"/>
    <w:rsid w:val="00AC6B73"/>
    <w:rsid w:val="00AC6F1A"/>
    <w:rsid w:val="00AC74AE"/>
    <w:rsid w:val="00AD192B"/>
    <w:rsid w:val="00AD438F"/>
    <w:rsid w:val="00AD4766"/>
    <w:rsid w:val="00AD7006"/>
    <w:rsid w:val="00AD7780"/>
    <w:rsid w:val="00AD7885"/>
    <w:rsid w:val="00AD7F93"/>
    <w:rsid w:val="00AE02D5"/>
    <w:rsid w:val="00AE0937"/>
    <w:rsid w:val="00AE0A4F"/>
    <w:rsid w:val="00AE2347"/>
    <w:rsid w:val="00AE3109"/>
    <w:rsid w:val="00AE32A1"/>
    <w:rsid w:val="00AE4129"/>
    <w:rsid w:val="00AE4E87"/>
    <w:rsid w:val="00AE529B"/>
    <w:rsid w:val="00AE649F"/>
    <w:rsid w:val="00AE6C5F"/>
    <w:rsid w:val="00AE6E76"/>
    <w:rsid w:val="00AF02AD"/>
    <w:rsid w:val="00AF291D"/>
    <w:rsid w:val="00AF30DD"/>
    <w:rsid w:val="00AF3594"/>
    <w:rsid w:val="00AF581C"/>
    <w:rsid w:val="00AF5C27"/>
    <w:rsid w:val="00AF613D"/>
    <w:rsid w:val="00AF6A7E"/>
    <w:rsid w:val="00AF7313"/>
    <w:rsid w:val="00B01D46"/>
    <w:rsid w:val="00B03F3C"/>
    <w:rsid w:val="00B04E09"/>
    <w:rsid w:val="00B05431"/>
    <w:rsid w:val="00B06E7A"/>
    <w:rsid w:val="00B11E8E"/>
    <w:rsid w:val="00B1216D"/>
    <w:rsid w:val="00B154C8"/>
    <w:rsid w:val="00B15DF4"/>
    <w:rsid w:val="00B1738C"/>
    <w:rsid w:val="00B21AC2"/>
    <w:rsid w:val="00B21BC8"/>
    <w:rsid w:val="00B21BE0"/>
    <w:rsid w:val="00B21D57"/>
    <w:rsid w:val="00B26138"/>
    <w:rsid w:val="00B26143"/>
    <w:rsid w:val="00B26B85"/>
    <w:rsid w:val="00B26C5E"/>
    <w:rsid w:val="00B3084C"/>
    <w:rsid w:val="00B329DF"/>
    <w:rsid w:val="00B32FAC"/>
    <w:rsid w:val="00B34A5D"/>
    <w:rsid w:val="00B361A5"/>
    <w:rsid w:val="00B36583"/>
    <w:rsid w:val="00B372DE"/>
    <w:rsid w:val="00B37394"/>
    <w:rsid w:val="00B423B3"/>
    <w:rsid w:val="00B4292D"/>
    <w:rsid w:val="00B42D14"/>
    <w:rsid w:val="00B43ADE"/>
    <w:rsid w:val="00B44B77"/>
    <w:rsid w:val="00B46951"/>
    <w:rsid w:val="00B52E35"/>
    <w:rsid w:val="00B5320A"/>
    <w:rsid w:val="00B53AD9"/>
    <w:rsid w:val="00B53E3D"/>
    <w:rsid w:val="00B5583D"/>
    <w:rsid w:val="00B566E0"/>
    <w:rsid w:val="00B56BB9"/>
    <w:rsid w:val="00B57119"/>
    <w:rsid w:val="00B60727"/>
    <w:rsid w:val="00B63F94"/>
    <w:rsid w:val="00B64DE9"/>
    <w:rsid w:val="00B65206"/>
    <w:rsid w:val="00B66D3D"/>
    <w:rsid w:val="00B67759"/>
    <w:rsid w:val="00B70F40"/>
    <w:rsid w:val="00B71560"/>
    <w:rsid w:val="00B71C49"/>
    <w:rsid w:val="00B71E95"/>
    <w:rsid w:val="00B73120"/>
    <w:rsid w:val="00B7599E"/>
    <w:rsid w:val="00B761BB"/>
    <w:rsid w:val="00B80DFC"/>
    <w:rsid w:val="00B80EDE"/>
    <w:rsid w:val="00B84254"/>
    <w:rsid w:val="00B859B8"/>
    <w:rsid w:val="00B87988"/>
    <w:rsid w:val="00B87B37"/>
    <w:rsid w:val="00B90574"/>
    <w:rsid w:val="00B90ABB"/>
    <w:rsid w:val="00B90CBD"/>
    <w:rsid w:val="00B912DA"/>
    <w:rsid w:val="00B9265A"/>
    <w:rsid w:val="00B92E98"/>
    <w:rsid w:val="00B9528F"/>
    <w:rsid w:val="00B9529C"/>
    <w:rsid w:val="00B9543F"/>
    <w:rsid w:val="00B9553B"/>
    <w:rsid w:val="00BA2567"/>
    <w:rsid w:val="00BA3397"/>
    <w:rsid w:val="00BA606B"/>
    <w:rsid w:val="00BA78B0"/>
    <w:rsid w:val="00BA7DC3"/>
    <w:rsid w:val="00BB37E5"/>
    <w:rsid w:val="00BB3ECA"/>
    <w:rsid w:val="00BB40B8"/>
    <w:rsid w:val="00BB471C"/>
    <w:rsid w:val="00BB53CB"/>
    <w:rsid w:val="00BB5F5E"/>
    <w:rsid w:val="00BB61E6"/>
    <w:rsid w:val="00BB62E8"/>
    <w:rsid w:val="00BB6415"/>
    <w:rsid w:val="00BB767C"/>
    <w:rsid w:val="00BC045F"/>
    <w:rsid w:val="00BC12CD"/>
    <w:rsid w:val="00BC144C"/>
    <w:rsid w:val="00BC1890"/>
    <w:rsid w:val="00BC229A"/>
    <w:rsid w:val="00BC46AA"/>
    <w:rsid w:val="00BC5C4C"/>
    <w:rsid w:val="00BC64E2"/>
    <w:rsid w:val="00BC6B83"/>
    <w:rsid w:val="00BC6DAD"/>
    <w:rsid w:val="00BD1145"/>
    <w:rsid w:val="00BD2189"/>
    <w:rsid w:val="00BD2936"/>
    <w:rsid w:val="00BD2971"/>
    <w:rsid w:val="00BD3B23"/>
    <w:rsid w:val="00BD40F4"/>
    <w:rsid w:val="00BD5259"/>
    <w:rsid w:val="00BD5772"/>
    <w:rsid w:val="00BD7565"/>
    <w:rsid w:val="00BE174B"/>
    <w:rsid w:val="00BE2A3D"/>
    <w:rsid w:val="00BE3611"/>
    <w:rsid w:val="00BE4F83"/>
    <w:rsid w:val="00BE5099"/>
    <w:rsid w:val="00BE53FC"/>
    <w:rsid w:val="00BE573A"/>
    <w:rsid w:val="00BE63C9"/>
    <w:rsid w:val="00BE79E6"/>
    <w:rsid w:val="00BF2A99"/>
    <w:rsid w:val="00BF2B76"/>
    <w:rsid w:val="00BF303D"/>
    <w:rsid w:val="00BF3D62"/>
    <w:rsid w:val="00BF3FF4"/>
    <w:rsid w:val="00BF4A83"/>
    <w:rsid w:val="00BF5678"/>
    <w:rsid w:val="00BF6518"/>
    <w:rsid w:val="00BF6B61"/>
    <w:rsid w:val="00BF7FC6"/>
    <w:rsid w:val="00C01A3A"/>
    <w:rsid w:val="00C01DA2"/>
    <w:rsid w:val="00C020F9"/>
    <w:rsid w:val="00C0383A"/>
    <w:rsid w:val="00C03D3A"/>
    <w:rsid w:val="00C03FE1"/>
    <w:rsid w:val="00C04197"/>
    <w:rsid w:val="00C048B1"/>
    <w:rsid w:val="00C0539B"/>
    <w:rsid w:val="00C056EE"/>
    <w:rsid w:val="00C05C8D"/>
    <w:rsid w:val="00C07B14"/>
    <w:rsid w:val="00C1063E"/>
    <w:rsid w:val="00C10713"/>
    <w:rsid w:val="00C117A2"/>
    <w:rsid w:val="00C131FB"/>
    <w:rsid w:val="00C15341"/>
    <w:rsid w:val="00C17796"/>
    <w:rsid w:val="00C20E1F"/>
    <w:rsid w:val="00C21258"/>
    <w:rsid w:val="00C215E3"/>
    <w:rsid w:val="00C234E3"/>
    <w:rsid w:val="00C24D9F"/>
    <w:rsid w:val="00C37429"/>
    <w:rsid w:val="00C411E5"/>
    <w:rsid w:val="00C417AD"/>
    <w:rsid w:val="00C43BD5"/>
    <w:rsid w:val="00C452B7"/>
    <w:rsid w:val="00C45A12"/>
    <w:rsid w:val="00C46D76"/>
    <w:rsid w:val="00C46DC8"/>
    <w:rsid w:val="00C47277"/>
    <w:rsid w:val="00C500B1"/>
    <w:rsid w:val="00C500DE"/>
    <w:rsid w:val="00C51B02"/>
    <w:rsid w:val="00C51F56"/>
    <w:rsid w:val="00C52437"/>
    <w:rsid w:val="00C53BA5"/>
    <w:rsid w:val="00C53E7F"/>
    <w:rsid w:val="00C53F5E"/>
    <w:rsid w:val="00C5405D"/>
    <w:rsid w:val="00C543EA"/>
    <w:rsid w:val="00C56C4B"/>
    <w:rsid w:val="00C577CE"/>
    <w:rsid w:val="00C6091E"/>
    <w:rsid w:val="00C60BB5"/>
    <w:rsid w:val="00C6229E"/>
    <w:rsid w:val="00C62FBC"/>
    <w:rsid w:val="00C630C0"/>
    <w:rsid w:val="00C633C3"/>
    <w:rsid w:val="00C65A58"/>
    <w:rsid w:val="00C65FAA"/>
    <w:rsid w:val="00C6749A"/>
    <w:rsid w:val="00C7317A"/>
    <w:rsid w:val="00C74A60"/>
    <w:rsid w:val="00C76857"/>
    <w:rsid w:val="00C77B4B"/>
    <w:rsid w:val="00C77FD7"/>
    <w:rsid w:val="00C81ECD"/>
    <w:rsid w:val="00C84CA4"/>
    <w:rsid w:val="00C84EF2"/>
    <w:rsid w:val="00C8530A"/>
    <w:rsid w:val="00C8580C"/>
    <w:rsid w:val="00C8595C"/>
    <w:rsid w:val="00C87CFF"/>
    <w:rsid w:val="00C91EEF"/>
    <w:rsid w:val="00C92B04"/>
    <w:rsid w:val="00C92D6E"/>
    <w:rsid w:val="00C93302"/>
    <w:rsid w:val="00C96476"/>
    <w:rsid w:val="00C966E5"/>
    <w:rsid w:val="00C9746E"/>
    <w:rsid w:val="00C97D01"/>
    <w:rsid w:val="00CA07E5"/>
    <w:rsid w:val="00CA124D"/>
    <w:rsid w:val="00CA1D9C"/>
    <w:rsid w:val="00CA2F94"/>
    <w:rsid w:val="00CA5643"/>
    <w:rsid w:val="00CA5CD4"/>
    <w:rsid w:val="00CB0602"/>
    <w:rsid w:val="00CB2706"/>
    <w:rsid w:val="00CB32BB"/>
    <w:rsid w:val="00CB53CC"/>
    <w:rsid w:val="00CB62EF"/>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2DA"/>
    <w:rsid w:val="00CD6BC9"/>
    <w:rsid w:val="00CD7A14"/>
    <w:rsid w:val="00CE094A"/>
    <w:rsid w:val="00CE0E5F"/>
    <w:rsid w:val="00CE22CB"/>
    <w:rsid w:val="00CE2FCF"/>
    <w:rsid w:val="00CE318F"/>
    <w:rsid w:val="00CE5461"/>
    <w:rsid w:val="00CE6B10"/>
    <w:rsid w:val="00CE6C4B"/>
    <w:rsid w:val="00CF1262"/>
    <w:rsid w:val="00CF36D8"/>
    <w:rsid w:val="00CF43C8"/>
    <w:rsid w:val="00CF46D5"/>
    <w:rsid w:val="00CF4736"/>
    <w:rsid w:val="00CF74BE"/>
    <w:rsid w:val="00CF7ADB"/>
    <w:rsid w:val="00D0033D"/>
    <w:rsid w:val="00D006B0"/>
    <w:rsid w:val="00D00BE4"/>
    <w:rsid w:val="00D0101C"/>
    <w:rsid w:val="00D02560"/>
    <w:rsid w:val="00D033B5"/>
    <w:rsid w:val="00D04121"/>
    <w:rsid w:val="00D051E7"/>
    <w:rsid w:val="00D0793C"/>
    <w:rsid w:val="00D07B26"/>
    <w:rsid w:val="00D111BB"/>
    <w:rsid w:val="00D1246C"/>
    <w:rsid w:val="00D12661"/>
    <w:rsid w:val="00D13E2C"/>
    <w:rsid w:val="00D14FF6"/>
    <w:rsid w:val="00D155CF"/>
    <w:rsid w:val="00D1702F"/>
    <w:rsid w:val="00D170E0"/>
    <w:rsid w:val="00D176D3"/>
    <w:rsid w:val="00D20EEA"/>
    <w:rsid w:val="00D229F0"/>
    <w:rsid w:val="00D23291"/>
    <w:rsid w:val="00D23533"/>
    <w:rsid w:val="00D24B67"/>
    <w:rsid w:val="00D25C54"/>
    <w:rsid w:val="00D338D3"/>
    <w:rsid w:val="00D33F03"/>
    <w:rsid w:val="00D360C6"/>
    <w:rsid w:val="00D365C0"/>
    <w:rsid w:val="00D40B48"/>
    <w:rsid w:val="00D4241B"/>
    <w:rsid w:val="00D42D0E"/>
    <w:rsid w:val="00D445DC"/>
    <w:rsid w:val="00D45287"/>
    <w:rsid w:val="00D4573D"/>
    <w:rsid w:val="00D46EEB"/>
    <w:rsid w:val="00D475F2"/>
    <w:rsid w:val="00D4768A"/>
    <w:rsid w:val="00D5067B"/>
    <w:rsid w:val="00D50683"/>
    <w:rsid w:val="00D508FE"/>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A41"/>
    <w:rsid w:val="00D76FB8"/>
    <w:rsid w:val="00D77F0A"/>
    <w:rsid w:val="00D8053D"/>
    <w:rsid w:val="00D80B1A"/>
    <w:rsid w:val="00D828CE"/>
    <w:rsid w:val="00D832FA"/>
    <w:rsid w:val="00D83F62"/>
    <w:rsid w:val="00D85C6B"/>
    <w:rsid w:val="00D86DAC"/>
    <w:rsid w:val="00D907C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36D"/>
    <w:rsid w:val="00DA5FB5"/>
    <w:rsid w:val="00DB307A"/>
    <w:rsid w:val="00DB441E"/>
    <w:rsid w:val="00DB4DA3"/>
    <w:rsid w:val="00DC1D5F"/>
    <w:rsid w:val="00DC1FAD"/>
    <w:rsid w:val="00DC20F9"/>
    <w:rsid w:val="00DC46F4"/>
    <w:rsid w:val="00DC56ED"/>
    <w:rsid w:val="00DC6173"/>
    <w:rsid w:val="00DC7F24"/>
    <w:rsid w:val="00DD08E7"/>
    <w:rsid w:val="00DD52DE"/>
    <w:rsid w:val="00DD7107"/>
    <w:rsid w:val="00DE28C4"/>
    <w:rsid w:val="00DE29A8"/>
    <w:rsid w:val="00DE4225"/>
    <w:rsid w:val="00DE6006"/>
    <w:rsid w:val="00DE7A57"/>
    <w:rsid w:val="00DE7C1A"/>
    <w:rsid w:val="00DF1747"/>
    <w:rsid w:val="00DF43EA"/>
    <w:rsid w:val="00DF4C02"/>
    <w:rsid w:val="00DF52BC"/>
    <w:rsid w:val="00DF5FB1"/>
    <w:rsid w:val="00DF7393"/>
    <w:rsid w:val="00DF781B"/>
    <w:rsid w:val="00E009F3"/>
    <w:rsid w:val="00E00DDC"/>
    <w:rsid w:val="00E01FA7"/>
    <w:rsid w:val="00E0274F"/>
    <w:rsid w:val="00E02F5C"/>
    <w:rsid w:val="00E0432C"/>
    <w:rsid w:val="00E048E5"/>
    <w:rsid w:val="00E061F3"/>
    <w:rsid w:val="00E07B26"/>
    <w:rsid w:val="00E07F21"/>
    <w:rsid w:val="00E13FB6"/>
    <w:rsid w:val="00E1487A"/>
    <w:rsid w:val="00E16DAB"/>
    <w:rsid w:val="00E2006D"/>
    <w:rsid w:val="00E21946"/>
    <w:rsid w:val="00E22756"/>
    <w:rsid w:val="00E235AF"/>
    <w:rsid w:val="00E25815"/>
    <w:rsid w:val="00E26F1D"/>
    <w:rsid w:val="00E279A6"/>
    <w:rsid w:val="00E311AB"/>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236"/>
    <w:rsid w:val="00E543F8"/>
    <w:rsid w:val="00E54FC6"/>
    <w:rsid w:val="00E55DD8"/>
    <w:rsid w:val="00E56BE0"/>
    <w:rsid w:val="00E56F4D"/>
    <w:rsid w:val="00E577AD"/>
    <w:rsid w:val="00E57F4D"/>
    <w:rsid w:val="00E57FDC"/>
    <w:rsid w:val="00E600D2"/>
    <w:rsid w:val="00E60ED6"/>
    <w:rsid w:val="00E611C6"/>
    <w:rsid w:val="00E62037"/>
    <w:rsid w:val="00E630BD"/>
    <w:rsid w:val="00E64DD1"/>
    <w:rsid w:val="00E65773"/>
    <w:rsid w:val="00E65A5A"/>
    <w:rsid w:val="00E65DE3"/>
    <w:rsid w:val="00E666D0"/>
    <w:rsid w:val="00E6719F"/>
    <w:rsid w:val="00E726D8"/>
    <w:rsid w:val="00E72946"/>
    <w:rsid w:val="00E757E9"/>
    <w:rsid w:val="00E7593F"/>
    <w:rsid w:val="00E768F9"/>
    <w:rsid w:val="00E76C2D"/>
    <w:rsid w:val="00E771B0"/>
    <w:rsid w:val="00E77F8A"/>
    <w:rsid w:val="00E810FF"/>
    <w:rsid w:val="00E8219A"/>
    <w:rsid w:val="00E8229F"/>
    <w:rsid w:val="00E829CB"/>
    <w:rsid w:val="00E848ED"/>
    <w:rsid w:val="00E8517B"/>
    <w:rsid w:val="00E8554D"/>
    <w:rsid w:val="00E859F8"/>
    <w:rsid w:val="00E875DE"/>
    <w:rsid w:val="00E87C9B"/>
    <w:rsid w:val="00E9018A"/>
    <w:rsid w:val="00E93090"/>
    <w:rsid w:val="00E93C34"/>
    <w:rsid w:val="00E97AB3"/>
    <w:rsid w:val="00EA1203"/>
    <w:rsid w:val="00EA2BCA"/>
    <w:rsid w:val="00EA2C71"/>
    <w:rsid w:val="00EA7E56"/>
    <w:rsid w:val="00EB021E"/>
    <w:rsid w:val="00EB05ED"/>
    <w:rsid w:val="00EB065E"/>
    <w:rsid w:val="00EB0C4B"/>
    <w:rsid w:val="00EB0DC4"/>
    <w:rsid w:val="00EB0E52"/>
    <w:rsid w:val="00EB1F77"/>
    <w:rsid w:val="00EB506E"/>
    <w:rsid w:val="00EC1B06"/>
    <w:rsid w:val="00EC4273"/>
    <w:rsid w:val="00EC63A7"/>
    <w:rsid w:val="00ED0D35"/>
    <w:rsid w:val="00ED1E20"/>
    <w:rsid w:val="00ED2FB9"/>
    <w:rsid w:val="00ED4C47"/>
    <w:rsid w:val="00ED4D48"/>
    <w:rsid w:val="00ED70B4"/>
    <w:rsid w:val="00ED734A"/>
    <w:rsid w:val="00EE2A0A"/>
    <w:rsid w:val="00EE2DA4"/>
    <w:rsid w:val="00EE4005"/>
    <w:rsid w:val="00EE4C19"/>
    <w:rsid w:val="00EE4C40"/>
    <w:rsid w:val="00EE774B"/>
    <w:rsid w:val="00EF170D"/>
    <w:rsid w:val="00EF17E5"/>
    <w:rsid w:val="00EF19BF"/>
    <w:rsid w:val="00EF23AC"/>
    <w:rsid w:val="00EF33E9"/>
    <w:rsid w:val="00EF36DF"/>
    <w:rsid w:val="00EF6096"/>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0C9"/>
    <w:rsid w:val="00F11612"/>
    <w:rsid w:val="00F124CD"/>
    <w:rsid w:val="00F127FE"/>
    <w:rsid w:val="00F1285B"/>
    <w:rsid w:val="00F13E92"/>
    <w:rsid w:val="00F14DB7"/>
    <w:rsid w:val="00F14F6E"/>
    <w:rsid w:val="00F160A1"/>
    <w:rsid w:val="00F20994"/>
    <w:rsid w:val="00F22C96"/>
    <w:rsid w:val="00F22ED1"/>
    <w:rsid w:val="00F24866"/>
    <w:rsid w:val="00F27225"/>
    <w:rsid w:val="00F30258"/>
    <w:rsid w:val="00F313E2"/>
    <w:rsid w:val="00F32B6C"/>
    <w:rsid w:val="00F34C00"/>
    <w:rsid w:val="00F361E3"/>
    <w:rsid w:val="00F36CBF"/>
    <w:rsid w:val="00F370ED"/>
    <w:rsid w:val="00F401C9"/>
    <w:rsid w:val="00F407D9"/>
    <w:rsid w:val="00F41844"/>
    <w:rsid w:val="00F41E24"/>
    <w:rsid w:val="00F427C8"/>
    <w:rsid w:val="00F430B2"/>
    <w:rsid w:val="00F45A66"/>
    <w:rsid w:val="00F47A5A"/>
    <w:rsid w:val="00F504AD"/>
    <w:rsid w:val="00F51460"/>
    <w:rsid w:val="00F537D7"/>
    <w:rsid w:val="00F54EDC"/>
    <w:rsid w:val="00F57531"/>
    <w:rsid w:val="00F60526"/>
    <w:rsid w:val="00F6130E"/>
    <w:rsid w:val="00F61EE2"/>
    <w:rsid w:val="00F625E4"/>
    <w:rsid w:val="00F65C61"/>
    <w:rsid w:val="00F66421"/>
    <w:rsid w:val="00F67759"/>
    <w:rsid w:val="00F72551"/>
    <w:rsid w:val="00F73484"/>
    <w:rsid w:val="00F740B2"/>
    <w:rsid w:val="00F748B8"/>
    <w:rsid w:val="00F75069"/>
    <w:rsid w:val="00F75123"/>
    <w:rsid w:val="00F76090"/>
    <w:rsid w:val="00F77C8E"/>
    <w:rsid w:val="00F80464"/>
    <w:rsid w:val="00F8342E"/>
    <w:rsid w:val="00F83D75"/>
    <w:rsid w:val="00F8456D"/>
    <w:rsid w:val="00F847C6"/>
    <w:rsid w:val="00F87CC2"/>
    <w:rsid w:val="00F9063F"/>
    <w:rsid w:val="00F907CC"/>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0346"/>
    <w:rsid w:val="00FC271A"/>
    <w:rsid w:val="00FC2F1F"/>
    <w:rsid w:val="00FC3252"/>
    <w:rsid w:val="00FC4899"/>
    <w:rsid w:val="00FC4A60"/>
    <w:rsid w:val="00FC532D"/>
    <w:rsid w:val="00FC59BB"/>
    <w:rsid w:val="00FC7074"/>
    <w:rsid w:val="00FD0FA7"/>
    <w:rsid w:val="00FD2AF8"/>
    <w:rsid w:val="00FD3C9B"/>
    <w:rsid w:val="00FD3D7B"/>
    <w:rsid w:val="00FD4076"/>
    <w:rsid w:val="00FE01CF"/>
    <w:rsid w:val="00FE03A2"/>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69CA"/>
    <w:rsid w:val="01F979C5"/>
    <w:rsid w:val="028A23CF"/>
    <w:rsid w:val="02B63F43"/>
    <w:rsid w:val="030F52BB"/>
    <w:rsid w:val="031606A4"/>
    <w:rsid w:val="03411945"/>
    <w:rsid w:val="0430705D"/>
    <w:rsid w:val="04392737"/>
    <w:rsid w:val="04603C01"/>
    <w:rsid w:val="047606E6"/>
    <w:rsid w:val="04C85EED"/>
    <w:rsid w:val="05505B9C"/>
    <w:rsid w:val="05F34D62"/>
    <w:rsid w:val="062D4112"/>
    <w:rsid w:val="062F2E84"/>
    <w:rsid w:val="06497B03"/>
    <w:rsid w:val="06A60006"/>
    <w:rsid w:val="06B20055"/>
    <w:rsid w:val="07253325"/>
    <w:rsid w:val="072B073A"/>
    <w:rsid w:val="073F7FD1"/>
    <w:rsid w:val="076D3498"/>
    <w:rsid w:val="07BE57C1"/>
    <w:rsid w:val="08040470"/>
    <w:rsid w:val="080E0192"/>
    <w:rsid w:val="08961C42"/>
    <w:rsid w:val="08A81A9D"/>
    <w:rsid w:val="08FD60B1"/>
    <w:rsid w:val="09342A1B"/>
    <w:rsid w:val="099916DB"/>
    <w:rsid w:val="09B06648"/>
    <w:rsid w:val="0A0106F5"/>
    <w:rsid w:val="0A1F1E7E"/>
    <w:rsid w:val="0B0E131B"/>
    <w:rsid w:val="0B5C629B"/>
    <w:rsid w:val="0C2A5E56"/>
    <w:rsid w:val="0C462CCD"/>
    <w:rsid w:val="0C7C4B79"/>
    <w:rsid w:val="0D0C3638"/>
    <w:rsid w:val="0D1D5845"/>
    <w:rsid w:val="0D3F6730"/>
    <w:rsid w:val="0D913311"/>
    <w:rsid w:val="0DB37F58"/>
    <w:rsid w:val="0E477469"/>
    <w:rsid w:val="0E497FFD"/>
    <w:rsid w:val="0EBB70C4"/>
    <w:rsid w:val="0EF12AE6"/>
    <w:rsid w:val="0F265029"/>
    <w:rsid w:val="0F6F2D99"/>
    <w:rsid w:val="0FED54E5"/>
    <w:rsid w:val="103C3741"/>
    <w:rsid w:val="107C6234"/>
    <w:rsid w:val="10BF512D"/>
    <w:rsid w:val="10CE1D3F"/>
    <w:rsid w:val="10D95F27"/>
    <w:rsid w:val="10DC18BD"/>
    <w:rsid w:val="10EA5AEA"/>
    <w:rsid w:val="11CA44CC"/>
    <w:rsid w:val="11D44EE5"/>
    <w:rsid w:val="1215655D"/>
    <w:rsid w:val="12374E56"/>
    <w:rsid w:val="12AC6AAE"/>
    <w:rsid w:val="12B878BF"/>
    <w:rsid w:val="12BD1894"/>
    <w:rsid w:val="12FB292B"/>
    <w:rsid w:val="13114443"/>
    <w:rsid w:val="13B710D6"/>
    <w:rsid w:val="13F74936"/>
    <w:rsid w:val="140C54F8"/>
    <w:rsid w:val="1432402B"/>
    <w:rsid w:val="14395CCF"/>
    <w:rsid w:val="143C457E"/>
    <w:rsid w:val="147D3BC6"/>
    <w:rsid w:val="15280082"/>
    <w:rsid w:val="159B2DCD"/>
    <w:rsid w:val="15C1068C"/>
    <w:rsid w:val="15EA5FFF"/>
    <w:rsid w:val="16A11B68"/>
    <w:rsid w:val="173011F4"/>
    <w:rsid w:val="178907B2"/>
    <w:rsid w:val="17C90AA4"/>
    <w:rsid w:val="18001201"/>
    <w:rsid w:val="181810E3"/>
    <w:rsid w:val="188724F2"/>
    <w:rsid w:val="18C02602"/>
    <w:rsid w:val="18C53635"/>
    <w:rsid w:val="18DA5ED3"/>
    <w:rsid w:val="190815D3"/>
    <w:rsid w:val="190A0433"/>
    <w:rsid w:val="194C3D23"/>
    <w:rsid w:val="19B57B9A"/>
    <w:rsid w:val="19CB643C"/>
    <w:rsid w:val="1A1F0F68"/>
    <w:rsid w:val="1A2A7322"/>
    <w:rsid w:val="1B0B13D3"/>
    <w:rsid w:val="1B540E52"/>
    <w:rsid w:val="1B7F118C"/>
    <w:rsid w:val="1B80591D"/>
    <w:rsid w:val="1BD505FF"/>
    <w:rsid w:val="1BDE355A"/>
    <w:rsid w:val="1C422E97"/>
    <w:rsid w:val="1C427B26"/>
    <w:rsid w:val="1C806116"/>
    <w:rsid w:val="1D5A0C76"/>
    <w:rsid w:val="1D6C5C70"/>
    <w:rsid w:val="1D874FC7"/>
    <w:rsid w:val="1D8D2573"/>
    <w:rsid w:val="1D921938"/>
    <w:rsid w:val="1D9C3CB2"/>
    <w:rsid w:val="1EDD3086"/>
    <w:rsid w:val="1EDD71B1"/>
    <w:rsid w:val="1EE150CA"/>
    <w:rsid w:val="1EFC1634"/>
    <w:rsid w:val="1F377AC9"/>
    <w:rsid w:val="1F496A46"/>
    <w:rsid w:val="209E5B9D"/>
    <w:rsid w:val="20EA3144"/>
    <w:rsid w:val="216E6218"/>
    <w:rsid w:val="223D3B12"/>
    <w:rsid w:val="2268575A"/>
    <w:rsid w:val="231F6890"/>
    <w:rsid w:val="234D1378"/>
    <w:rsid w:val="237327CB"/>
    <w:rsid w:val="23850E10"/>
    <w:rsid w:val="238F61D4"/>
    <w:rsid w:val="239916DB"/>
    <w:rsid w:val="24360360"/>
    <w:rsid w:val="24493A91"/>
    <w:rsid w:val="246B6A3F"/>
    <w:rsid w:val="24BC370C"/>
    <w:rsid w:val="24D27727"/>
    <w:rsid w:val="251470D6"/>
    <w:rsid w:val="25317169"/>
    <w:rsid w:val="257A4651"/>
    <w:rsid w:val="25FA1133"/>
    <w:rsid w:val="261804B4"/>
    <w:rsid w:val="265E46F1"/>
    <w:rsid w:val="26B55F7C"/>
    <w:rsid w:val="26F86ADE"/>
    <w:rsid w:val="27466F3A"/>
    <w:rsid w:val="275D3CB3"/>
    <w:rsid w:val="277A4E7E"/>
    <w:rsid w:val="2844783F"/>
    <w:rsid w:val="28FE72A2"/>
    <w:rsid w:val="297C74F3"/>
    <w:rsid w:val="29812712"/>
    <w:rsid w:val="2996107E"/>
    <w:rsid w:val="29A857CC"/>
    <w:rsid w:val="2A094D30"/>
    <w:rsid w:val="2A63489D"/>
    <w:rsid w:val="2AE46958"/>
    <w:rsid w:val="2B3B416C"/>
    <w:rsid w:val="2BBF3C61"/>
    <w:rsid w:val="2BD71660"/>
    <w:rsid w:val="2BDB45ED"/>
    <w:rsid w:val="2C24302A"/>
    <w:rsid w:val="2C9420DE"/>
    <w:rsid w:val="2D3F77EF"/>
    <w:rsid w:val="2D5B0AFA"/>
    <w:rsid w:val="2DAC4E42"/>
    <w:rsid w:val="2DD339F8"/>
    <w:rsid w:val="2DE75388"/>
    <w:rsid w:val="2E5545F5"/>
    <w:rsid w:val="2E9E3CFC"/>
    <w:rsid w:val="2EA25C41"/>
    <w:rsid w:val="2EDB595A"/>
    <w:rsid w:val="2F00295A"/>
    <w:rsid w:val="2F40562B"/>
    <w:rsid w:val="2FB12A7C"/>
    <w:rsid w:val="2FC65AA0"/>
    <w:rsid w:val="2FF8434A"/>
    <w:rsid w:val="302F391C"/>
    <w:rsid w:val="309B70CA"/>
    <w:rsid w:val="315C7DFC"/>
    <w:rsid w:val="318F1645"/>
    <w:rsid w:val="31C21BFF"/>
    <w:rsid w:val="31C84E47"/>
    <w:rsid w:val="325736BF"/>
    <w:rsid w:val="32676A97"/>
    <w:rsid w:val="32C86926"/>
    <w:rsid w:val="32DC18E5"/>
    <w:rsid w:val="335919AF"/>
    <w:rsid w:val="33D37C07"/>
    <w:rsid w:val="342A4220"/>
    <w:rsid w:val="35B43FF4"/>
    <w:rsid w:val="35D92E9B"/>
    <w:rsid w:val="35ED30EC"/>
    <w:rsid w:val="36347D06"/>
    <w:rsid w:val="36AC1F2F"/>
    <w:rsid w:val="38231ED4"/>
    <w:rsid w:val="38417D8A"/>
    <w:rsid w:val="39AF51DA"/>
    <w:rsid w:val="39E92488"/>
    <w:rsid w:val="3A186E41"/>
    <w:rsid w:val="3A39131A"/>
    <w:rsid w:val="3AC74DF5"/>
    <w:rsid w:val="3B091028"/>
    <w:rsid w:val="3B681B3E"/>
    <w:rsid w:val="3BFA097C"/>
    <w:rsid w:val="3C6B3628"/>
    <w:rsid w:val="3C8D7A78"/>
    <w:rsid w:val="3CE336D9"/>
    <w:rsid w:val="3D2879EF"/>
    <w:rsid w:val="3D3261E0"/>
    <w:rsid w:val="3D4A3789"/>
    <w:rsid w:val="3D781614"/>
    <w:rsid w:val="3E083B79"/>
    <w:rsid w:val="3E3806A6"/>
    <w:rsid w:val="3E72001C"/>
    <w:rsid w:val="3ECD0CEE"/>
    <w:rsid w:val="3F580C5F"/>
    <w:rsid w:val="3F634A8A"/>
    <w:rsid w:val="3FCA2976"/>
    <w:rsid w:val="3FD61BCF"/>
    <w:rsid w:val="403D6144"/>
    <w:rsid w:val="40755F8E"/>
    <w:rsid w:val="40BA1F9B"/>
    <w:rsid w:val="412F1F7C"/>
    <w:rsid w:val="41343E4D"/>
    <w:rsid w:val="415C553E"/>
    <w:rsid w:val="415D64DE"/>
    <w:rsid w:val="4168058E"/>
    <w:rsid w:val="417072E0"/>
    <w:rsid w:val="417E2A00"/>
    <w:rsid w:val="4223778B"/>
    <w:rsid w:val="42BC1111"/>
    <w:rsid w:val="42DA5CF5"/>
    <w:rsid w:val="42EB7271"/>
    <w:rsid w:val="43053030"/>
    <w:rsid w:val="43A30020"/>
    <w:rsid w:val="43E33E6E"/>
    <w:rsid w:val="43F9412A"/>
    <w:rsid w:val="445A5E6F"/>
    <w:rsid w:val="4486465C"/>
    <w:rsid w:val="44BF12FC"/>
    <w:rsid w:val="44E64B09"/>
    <w:rsid w:val="44EE1880"/>
    <w:rsid w:val="459B0086"/>
    <w:rsid w:val="45AF35D1"/>
    <w:rsid w:val="45B47338"/>
    <w:rsid w:val="45BD6B94"/>
    <w:rsid w:val="46BC1650"/>
    <w:rsid w:val="46CE4EDF"/>
    <w:rsid w:val="46E71AD2"/>
    <w:rsid w:val="472D1259"/>
    <w:rsid w:val="475B4095"/>
    <w:rsid w:val="481A14F5"/>
    <w:rsid w:val="48274C8F"/>
    <w:rsid w:val="48E24C72"/>
    <w:rsid w:val="4A2827D7"/>
    <w:rsid w:val="4A6B6540"/>
    <w:rsid w:val="4B245A16"/>
    <w:rsid w:val="4B7B5D52"/>
    <w:rsid w:val="4B856DC8"/>
    <w:rsid w:val="4B9B4365"/>
    <w:rsid w:val="4C344705"/>
    <w:rsid w:val="4CF65190"/>
    <w:rsid w:val="4DAC0131"/>
    <w:rsid w:val="4DAC701F"/>
    <w:rsid w:val="4DCC2A51"/>
    <w:rsid w:val="4DD210DF"/>
    <w:rsid w:val="4EE80CB2"/>
    <w:rsid w:val="4F057E34"/>
    <w:rsid w:val="4F2F32D4"/>
    <w:rsid w:val="4FAE44D6"/>
    <w:rsid w:val="4FB235F0"/>
    <w:rsid w:val="504601DC"/>
    <w:rsid w:val="51CA6732"/>
    <w:rsid w:val="528B46F7"/>
    <w:rsid w:val="52B400B8"/>
    <w:rsid w:val="53312A7E"/>
    <w:rsid w:val="533F3AD1"/>
    <w:rsid w:val="53C87FC7"/>
    <w:rsid w:val="543F4E42"/>
    <w:rsid w:val="54D15D57"/>
    <w:rsid w:val="557436BE"/>
    <w:rsid w:val="55DD513F"/>
    <w:rsid w:val="561072C2"/>
    <w:rsid w:val="56115E66"/>
    <w:rsid w:val="56DE4CCA"/>
    <w:rsid w:val="574A6182"/>
    <w:rsid w:val="575171A5"/>
    <w:rsid w:val="579F57D5"/>
    <w:rsid w:val="58146A07"/>
    <w:rsid w:val="58B419E2"/>
    <w:rsid w:val="58D5687C"/>
    <w:rsid w:val="58FA6008"/>
    <w:rsid w:val="591B3CD4"/>
    <w:rsid w:val="5998655E"/>
    <w:rsid w:val="59C77E38"/>
    <w:rsid w:val="59F14B94"/>
    <w:rsid w:val="5A1153B7"/>
    <w:rsid w:val="5A13554E"/>
    <w:rsid w:val="5A1B39FB"/>
    <w:rsid w:val="5A6F6C52"/>
    <w:rsid w:val="5A8A250A"/>
    <w:rsid w:val="5ABB1596"/>
    <w:rsid w:val="5AC3300C"/>
    <w:rsid w:val="5B3E3650"/>
    <w:rsid w:val="5BB46942"/>
    <w:rsid w:val="5BD43483"/>
    <w:rsid w:val="5C543973"/>
    <w:rsid w:val="5C744B6B"/>
    <w:rsid w:val="5CF55A11"/>
    <w:rsid w:val="5D6870ED"/>
    <w:rsid w:val="5DEF1BC1"/>
    <w:rsid w:val="5EAC56AE"/>
    <w:rsid w:val="5EF23F70"/>
    <w:rsid w:val="5EFC004B"/>
    <w:rsid w:val="5F685A79"/>
    <w:rsid w:val="5F920008"/>
    <w:rsid w:val="5FA93E45"/>
    <w:rsid w:val="5FBD72D5"/>
    <w:rsid w:val="602C3816"/>
    <w:rsid w:val="60374E58"/>
    <w:rsid w:val="60CB623B"/>
    <w:rsid w:val="61A42246"/>
    <w:rsid w:val="61A93E79"/>
    <w:rsid w:val="61C50705"/>
    <w:rsid w:val="61EB288B"/>
    <w:rsid w:val="62223F30"/>
    <w:rsid w:val="62384E48"/>
    <w:rsid w:val="627B086B"/>
    <w:rsid w:val="629E5C56"/>
    <w:rsid w:val="62B177C6"/>
    <w:rsid w:val="62EF749B"/>
    <w:rsid w:val="63BD502E"/>
    <w:rsid w:val="64930C78"/>
    <w:rsid w:val="64A41543"/>
    <w:rsid w:val="650D0D78"/>
    <w:rsid w:val="65165F77"/>
    <w:rsid w:val="65F337E0"/>
    <w:rsid w:val="670F6548"/>
    <w:rsid w:val="671A7509"/>
    <w:rsid w:val="67E03135"/>
    <w:rsid w:val="68806AB5"/>
    <w:rsid w:val="68B40DDA"/>
    <w:rsid w:val="68B43ADD"/>
    <w:rsid w:val="68B61271"/>
    <w:rsid w:val="68F91E38"/>
    <w:rsid w:val="691609A7"/>
    <w:rsid w:val="69194288"/>
    <w:rsid w:val="6961292A"/>
    <w:rsid w:val="696F1173"/>
    <w:rsid w:val="699F53F8"/>
    <w:rsid w:val="69E53FFF"/>
    <w:rsid w:val="6A525EC2"/>
    <w:rsid w:val="6A800E29"/>
    <w:rsid w:val="6B02606A"/>
    <w:rsid w:val="6B3A230F"/>
    <w:rsid w:val="6B666FFD"/>
    <w:rsid w:val="6BBF57A4"/>
    <w:rsid w:val="6BDF5315"/>
    <w:rsid w:val="6BE60DC5"/>
    <w:rsid w:val="6C134FBF"/>
    <w:rsid w:val="6CA426C9"/>
    <w:rsid w:val="6CAD5718"/>
    <w:rsid w:val="6D651A75"/>
    <w:rsid w:val="6D994C30"/>
    <w:rsid w:val="6DBA5902"/>
    <w:rsid w:val="6DFD2B64"/>
    <w:rsid w:val="6E267D84"/>
    <w:rsid w:val="6F8F2BAE"/>
    <w:rsid w:val="70234260"/>
    <w:rsid w:val="7117781D"/>
    <w:rsid w:val="71E32E83"/>
    <w:rsid w:val="72176FD9"/>
    <w:rsid w:val="72321F8D"/>
    <w:rsid w:val="724F6052"/>
    <w:rsid w:val="726544FE"/>
    <w:rsid w:val="72813414"/>
    <w:rsid w:val="73154BB9"/>
    <w:rsid w:val="731A374D"/>
    <w:rsid w:val="73236BD5"/>
    <w:rsid w:val="737C0325"/>
    <w:rsid w:val="738844E4"/>
    <w:rsid w:val="73F405F6"/>
    <w:rsid w:val="743F7355"/>
    <w:rsid w:val="752E4C17"/>
    <w:rsid w:val="7614205F"/>
    <w:rsid w:val="761E4ABF"/>
    <w:rsid w:val="7667291B"/>
    <w:rsid w:val="76E2215D"/>
    <w:rsid w:val="76EA5ED3"/>
    <w:rsid w:val="771D445E"/>
    <w:rsid w:val="77B05DB7"/>
    <w:rsid w:val="785E24EE"/>
    <w:rsid w:val="786B5CCB"/>
    <w:rsid w:val="78723B72"/>
    <w:rsid w:val="789E550F"/>
    <w:rsid w:val="79216EEA"/>
    <w:rsid w:val="79231C19"/>
    <w:rsid w:val="794D571B"/>
    <w:rsid w:val="79867287"/>
    <w:rsid w:val="799E2BC1"/>
    <w:rsid w:val="79B412D4"/>
    <w:rsid w:val="79C8563A"/>
    <w:rsid w:val="79D24E6B"/>
    <w:rsid w:val="7A362652"/>
    <w:rsid w:val="7AA20054"/>
    <w:rsid w:val="7AC70161"/>
    <w:rsid w:val="7AE27E2D"/>
    <w:rsid w:val="7BE44282"/>
    <w:rsid w:val="7C5E1319"/>
    <w:rsid w:val="7CFE4D0B"/>
    <w:rsid w:val="7D2D51FD"/>
    <w:rsid w:val="7DD74C89"/>
    <w:rsid w:val="7DF00624"/>
    <w:rsid w:val="7F7057AD"/>
    <w:rsid w:val="7FE0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9"/>
    <w:basedOn w:val="1"/>
    <w:next w:val="1"/>
    <w:unhideWhenUsed/>
    <w:qFormat/>
    <w:uiPriority w:val="0"/>
    <w:pPr>
      <w:keepNext/>
      <w:keepLines/>
      <w:spacing w:before="240" w:after="64" w:line="317" w:lineRule="auto"/>
      <w:outlineLvl w:val="8"/>
    </w:pPr>
    <w:rPr>
      <w:rFonts w:ascii="Arial" w:hAnsi="Arial" w:eastAsia="黑体"/>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40"/>
    <w:qFormat/>
    <w:uiPriority w:val="0"/>
    <w:pPr>
      <w:ind w:firstLine="420" w:firstLineChars="200"/>
    </w:pPr>
  </w:style>
  <w:style w:type="paragraph" w:styleId="10">
    <w:name w:val="annotation text"/>
    <w:basedOn w:val="1"/>
    <w:link w:val="41"/>
    <w:qFormat/>
    <w:uiPriority w:val="0"/>
    <w:pPr>
      <w:jc w:val="left"/>
    </w:pPr>
    <w:rPr>
      <w:sz w:val="18"/>
      <w:szCs w:val="20"/>
    </w:rPr>
  </w:style>
  <w:style w:type="paragraph" w:styleId="11">
    <w:name w:val="Salutation"/>
    <w:basedOn w:val="1"/>
    <w:next w:val="1"/>
    <w:unhideWhenUsed/>
    <w:qFormat/>
    <w:uiPriority w:val="0"/>
    <w:rPr>
      <w:rFonts w:ascii="仿宋_GB2312" w:hAnsi="宋体" w:eastAsia="仿宋_GB2312"/>
      <w:kern w:val="0"/>
      <w:sz w:val="32"/>
      <w:szCs w:val="32"/>
    </w:rPr>
  </w:style>
  <w:style w:type="paragraph" w:styleId="12">
    <w:name w:val="Body Text 3"/>
    <w:basedOn w:val="1"/>
    <w:link w:val="71"/>
    <w:qFormat/>
    <w:uiPriority w:val="99"/>
    <w:pPr>
      <w:spacing w:after="120"/>
    </w:pPr>
    <w:rPr>
      <w:sz w:val="16"/>
      <w:szCs w:val="16"/>
    </w:rPr>
  </w:style>
  <w:style w:type="paragraph" w:styleId="13">
    <w:name w:val="Body Text"/>
    <w:basedOn w:val="1"/>
    <w:next w:val="1"/>
    <w:link w:val="72"/>
    <w:qFormat/>
    <w:uiPriority w:val="0"/>
    <w:pPr>
      <w:spacing w:after="120"/>
    </w:pPr>
  </w:style>
  <w:style w:type="paragraph" w:styleId="14">
    <w:name w:val="Body Text Indent"/>
    <w:basedOn w:val="1"/>
    <w:link w:val="42"/>
    <w:qFormat/>
    <w:uiPriority w:val="0"/>
    <w:pPr>
      <w:ind w:firstLine="630"/>
    </w:pPr>
    <w:rPr>
      <w:sz w:val="32"/>
      <w:szCs w:val="20"/>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7">
    <w:name w:val="Plain Text"/>
    <w:basedOn w:val="1"/>
    <w:link w:val="43"/>
    <w:qFormat/>
    <w:uiPriority w:val="0"/>
    <w:pPr>
      <w:autoSpaceDE w:val="0"/>
      <w:autoSpaceDN w:val="0"/>
      <w:adjustRightInd w:val="0"/>
    </w:pPr>
    <w:rPr>
      <w:rFonts w:ascii="宋体" w:hAnsi="Tms Rmn"/>
      <w:kern w:val="0"/>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44"/>
    <w:qFormat/>
    <w:uiPriority w:val="0"/>
    <w:pPr>
      <w:tabs>
        <w:tab w:val="center" w:pos="4153"/>
        <w:tab w:val="right" w:pos="8306"/>
      </w:tabs>
      <w:snapToGrid w:val="0"/>
      <w:jc w:val="left"/>
    </w:pPr>
    <w:rPr>
      <w:sz w:val="18"/>
      <w:szCs w:val="20"/>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unhideWhenUsed/>
    <w:qFormat/>
    <w:uiPriority w:val="39"/>
    <w:pPr>
      <w:widowControl/>
      <w:spacing w:after="100" w:line="960" w:lineRule="auto"/>
      <w:jc w:val="left"/>
    </w:pPr>
    <w:rPr>
      <w:rFonts w:ascii="Calibri" w:hAnsi="Calibri"/>
      <w:kern w:val="0"/>
      <w:sz w:val="24"/>
      <w:szCs w:val="22"/>
    </w:rPr>
  </w:style>
  <w:style w:type="paragraph" w:styleId="24">
    <w:name w:val="toc 4"/>
    <w:basedOn w:val="1"/>
    <w:next w:val="1"/>
    <w:unhideWhenUsed/>
    <w:qFormat/>
    <w:uiPriority w:val="39"/>
    <w:pPr>
      <w:ind w:left="1260" w:leftChars="600"/>
    </w:pPr>
    <w:rPr>
      <w:rFonts w:ascii="Calibri" w:hAnsi="Calibri"/>
      <w:szCs w:val="22"/>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link w:val="46"/>
    <w:qFormat/>
    <w:uiPriority w:val="0"/>
    <w:pPr>
      <w:spacing w:after="120"/>
      <w:ind w:left="420" w:leftChars="200"/>
    </w:pPr>
    <w:rPr>
      <w:sz w:val="16"/>
      <w:szCs w:val="16"/>
    </w:rPr>
  </w:style>
  <w:style w:type="paragraph" w:styleId="27">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28">
    <w:name w:val="toc 9"/>
    <w:basedOn w:val="1"/>
    <w:next w:val="1"/>
    <w:unhideWhenUsed/>
    <w:qFormat/>
    <w:uiPriority w:val="39"/>
    <w:pPr>
      <w:ind w:left="3360" w:leftChars="1600"/>
    </w:pPr>
    <w:rPr>
      <w:rFonts w:ascii="Calibri" w:hAnsi="Calibri"/>
      <w:szCs w:val="22"/>
    </w:rPr>
  </w:style>
  <w:style w:type="paragraph" w:styleId="2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0">
    <w:name w:val="annotation subject"/>
    <w:basedOn w:val="10"/>
    <w:next w:val="10"/>
    <w:link w:val="47"/>
    <w:qFormat/>
    <w:uiPriority w:val="0"/>
    <w:rPr>
      <w:b/>
      <w:bCs/>
      <w:sz w:val="21"/>
      <w:szCs w:val="24"/>
    </w:rPr>
  </w:style>
  <w:style w:type="paragraph" w:styleId="31">
    <w:name w:val="Body Text First Indent"/>
    <w:basedOn w:val="13"/>
    <w:next w:val="32"/>
    <w:link w:val="73"/>
    <w:unhideWhenUsed/>
    <w:qFormat/>
    <w:uiPriority w:val="99"/>
    <w:pPr>
      <w:ind w:firstLine="420" w:firstLineChars="100"/>
    </w:pPr>
  </w:style>
  <w:style w:type="paragraph" w:styleId="32">
    <w:name w:val="Body Text First Indent 2"/>
    <w:basedOn w:val="14"/>
    <w:next w:val="1"/>
    <w:link w:val="74"/>
    <w:qFormat/>
    <w:uiPriority w:val="0"/>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customStyle="1" w:styleId="39">
    <w:name w:val="标题 2 字符"/>
    <w:link w:val="5"/>
    <w:qFormat/>
    <w:uiPriority w:val="0"/>
    <w:rPr>
      <w:rFonts w:ascii="Arial" w:hAnsi="Arial" w:eastAsia="黑体"/>
      <w:b/>
      <w:bCs/>
      <w:kern w:val="2"/>
      <w:sz w:val="32"/>
      <w:szCs w:val="32"/>
    </w:rPr>
  </w:style>
  <w:style w:type="character" w:customStyle="1" w:styleId="40">
    <w:name w:val="正文缩进 字符"/>
    <w:link w:val="9"/>
    <w:qFormat/>
    <w:uiPriority w:val="0"/>
    <w:rPr>
      <w:rFonts w:eastAsia="宋体"/>
      <w:kern w:val="2"/>
      <w:sz w:val="21"/>
      <w:szCs w:val="24"/>
      <w:lang w:val="en-US" w:eastAsia="zh-CN" w:bidi="ar-SA"/>
    </w:rPr>
  </w:style>
  <w:style w:type="character" w:customStyle="1" w:styleId="41">
    <w:name w:val="批注文字 字符"/>
    <w:link w:val="10"/>
    <w:qFormat/>
    <w:uiPriority w:val="0"/>
    <w:rPr>
      <w:kern w:val="2"/>
      <w:sz w:val="18"/>
      <w:lang w:bidi="ar-SA"/>
    </w:rPr>
  </w:style>
  <w:style w:type="character" w:customStyle="1" w:styleId="42">
    <w:name w:val="正文文本缩进 字符"/>
    <w:link w:val="14"/>
    <w:qFormat/>
    <w:uiPriority w:val="0"/>
    <w:rPr>
      <w:rFonts w:eastAsia="宋体"/>
      <w:kern w:val="2"/>
      <w:sz w:val="32"/>
      <w:lang w:val="en-US" w:eastAsia="zh-CN" w:bidi="ar-SA"/>
    </w:rPr>
  </w:style>
  <w:style w:type="character" w:customStyle="1" w:styleId="43">
    <w:name w:val="纯文本 字符"/>
    <w:link w:val="17"/>
    <w:unhideWhenUsed/>
    <w:qFormat/>
    <w:uiPriority w:val="0"/>
    <w:rPr>
      <w:rFonts w:ascii="宋体" w:hAnsi="Tms Rmn" w:eastAsia="宋体"/>
      <w:sz w:val="21"/>
      <w:lang w:val="en-US" w:eastAsia="zh-CN" w:bidi="ar-SA"/>
    </w:rPr>
  </w:style>
  <w:style w:type="character" w:customStyle="1" w:styleId="44">
    <w:name w:val="页脚 字符"/>
    <w:link w:val="21"/>
    <w:qFormat/>
    <w:uiPriority w:val="0"/>
    <w:rPr>
      <w:rFonts w:eastAsia="宋体"/>
      <w:kern w:val="2"/>
      <w:sz w:val="18"/>
      <w:lang w:val="en-US" w:eastAsia="zh-CN" w:bidi="ar-SA"/>
    </w:rPr>
  </w:style>
  <w:style w:type="character" w:customStyle="1" w:styleId="45">
    <w:name w:val="页眉 字符"/>
    <w:link w:val="22"/>
    <w:qFormat/>
    <w:uiPriority w:val="0"/>
    <w:rPr>
      <w:rFonts w:eastAsia="宋体"/>
      <w:kern w:val="2"/>
      <w:sz w:val="18"/>
      <w:lang w:val="en-US" w:eastAsia="zh-CN" w:bidi="ar-SA"/>
    </w:rPr>
  </w:style>
  <w:style w:type="character" w:customStyle="1" w:styleId="46">
    <w:name w:val="正文文本缩进 3 字符"/>
    <w:link w:val="26"/>
    <w:qFormat/>
    <w:uiPriority w:val="0"/>
    <w:rPr>
      <w:kern w:val="2"/>
      <w:sz w:val="16"/>
      <w:szCs w:val="16"/>
    </w:rPr>
  </w:style>
  <w:style w:type="character" w:customStyle="1" w:styleId="47">
    <w:name w:val="批注主题 字符"/>
    <w:link w:val="30"/>
    <w:qFormat/>
    <w:uiPriority w:val="0"/>
    <w:rPr>
      <w:b/>
      <w:bCs/>
      <w:kern w:val="2"/>
      <w:sz w:val="21"/>
      <w:szCs w:val="24"/>
      <w:lang w:bidi="ar-SA"/>
    </w:rPr>
  </w:style>
  <w:style w:type="character" w:customStyle="1" w:styleId="48">
    <w:name w:val="Char Char9"/>
    <w:qFormat/>
    <w:uiPriority w:val="0"/>
    <w:rPr>
      <w:kern w:val="2"/>
      <w:sz w:val="21"/>
    </w:rPr>
  </w:style>
  <w:style w:type="character" w:customStyle="1" w:styleId="49">
    <w:name w:val="GW-正文 Char"/>
    <w:link w:val="50"/>
    <w:qFormat/>
    <w:uiPriority w:val="0"/>
    <w:rPr>
      <w:rFonts w:eastAsia="仿宋_GB2312"/>
      <w:kern w:val="2"/>
      <w:sz w:val="24"/>
      <w:szCs w:val="24"/>
      <w:lang w:val="en-US" w:eastAsia="zh-CN" w:bidi="ar-SA"/>
    </w:rPr>
  </w:style>
  <w:style w:type="paragraph" w:customStyle="1" w:styleId="50">
    <w:name w:val="GW-正文"/>
    <w:basedOn w:val="1"/>
    <w:link w:val="49"/>
    <w:qFormat/>
    <w:uiPriority w:val="0"/>
    <w:pPr>
      <w:spacing w:line="360" w:lineRule="auto"/>
      <w:ind w:firstLine="200" w:firstLineChars="200"/>
    </w:pPr>
    <w:rPr>
      <w:rFonts w:eastAsia="仿宋_GB2312"/>
      <w:sz w:val="24"/>
    </w:rPr>
  </w:style>
  <w:style w:type="character" w:customStyle="1" w:styleId="51">
    <w:name w:val="批注文字 Char1"/>
    <w:qFormat/>
    <w:uiPriority w:val="0"/>
    <w:rPr>
      <w:kern w:val="2"/>
      <w:sz w:val="18"/>
      <w:lang w:bidi="ar-SA"/>
    </w:rPr>
  </w:style>
  <w:style w:type="character" w:customStyle="1" w:styleId="52">
    <w:name w:val="正文首行缩进两字符 Char Char"/>
    <w:link w:val="53"/>
    <w:qFormat/>
    <w:uiPriority w:val="0"/>
    <w:rPr>
      <w:kern w:val="2"/>
      <w:sz w:val="21"/>
      <w:szCs w:val="24"/>
    </w:rPr>
  </w:style>
  <w:style w:type="paragraph" w:customStyle="1" w:styleId="53">
    <w:name w:val="正文首行缩进两字符"/>
    <w:basedOn w:val="1"/>
    <w:link w:val="52"/>
    <w:qFormat/>
    <w:uiPriority w:val="0"/>
    <w:pPr>
      <w:spacing w:line="360" w:lineRule="auto"/>
      <w:ind w:firstLine="200" w:firstLineChars="200"/>
    </w:pPr>
  </w:style>
  <w:style w:type="character" w:customStyle="1" w:styleId="54">
    <w:name w:val="列表段落 字符"/>
    <w:link w:val="55"/>
    <w:qFormat/>
    <w:uiPriority w:val="0"/>
    <w:rPr>
      <w:rFonts w:eastAsia="宋体"/>
      <w:kern w:val="2"/>
      <w:sz w:val="21"/>
      <w:szCs w:val="24"/>
      <w:lang w:val="en-US" w:eastAsia="zh-CN" w:bidi="ar-SA"/>
    </w:rPr>
  </w:style>
  <w:style w:type="paragraph" w:styleId="55">
    <w:name w:val="List Paragraph"/>
    <w:basedOn w:val="1"/>
    <w:link w:val="54"/>
    <w:qFormat/>
    <w:uiPriority w:val="0"/>
    <w:pPr>
      <w:ind w:firstLine="420" w:firstLineChars="200"/>
    </w:pPr>
  </w:style>
  <w:style w:type="character" w:customStyle="1" w:styleId="56">
    <w:name w:val="纯文本 Char1"/>
    <w:qFormat/>
    <w:uiPriority w:val="0"/>
    <w:rPr>
      <w:rFonts w:hint="eastAsia" w:ascii="宋体" w:hAnsi="Tms Rmn" w:eastAsia="宋体"/>
      <w:sz w:val="21"/>
      <w:lang w:val="en-US" w:eastAsia="zh-CN"/>
    </w:rPr>
  </w:style>
  <w:style w:type="character" w:customStyle="1" w:styleId="57">
    <w:name w:val="（符号）邀请函中一、"/>
    <w:qFormat/>
    <w:uiPriority w:val="0"/>
    <w:rPr>
      <w:rFonts w:ascii="黑体" w:hAnsi="黑体" w:eastAsia="黑体"/>
      <w:b/>
      <w:bCs/>
      <w:sz w:val="24"/>
    </w:rPr>
  </w:style>
  <w:style w:type="paragraph" w:customStyle="1" w:styleId="58">
    <w:name w:val="03、“注：”正文(加粗，首行缩进2字符)"/>
    <w:basedOn w:val="59"/>
    <w:qFormat/>
    <w:uiPriority w:val="0"/>
    <w:pPr>
      <w:tabs>
        <w:tab w:val="left" w:pos="0"/>
      </w:tabs>
      <w:ind w:firstLine="480" w:firstLineChars="200"/>
    </w:pPr>
    <w:rPr>
      <w:b/>
    </w:rPr>
  </w:style>
  <w:style w:type="paragraph" w:customStyle="1" w:styleId="59">
    <w:name w:val="01、普通正文"/>
    <w:basedOn w:val="1"/>
    <w:qFormat/>
    <w:uiPriority w:val="0"/>
    <w:pPr>
      <w:tabs>
        <w:tab w:val="left" w:pos="0"/>
      </w:tabs>
      <w:wordWrap w:val="0"/>
      <w:topLinePunct/>
    </w:pPr>
    <w:rPr>
      <w:snapToGrid w:val="0"/>
    </w:rPr>
  </w:style>
  <w:style w:type="paragraph" w:customStyle="1" w:styleId="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msolistparagraph"/>
    <w:basedOn w:val="1"/>
    <w:qFormat/>
    <w:uiPriority w:val="0"/>
    <w:pPr>
      <w:ind w:firstLine="420" w:firstLineChars="200"/>
    </w:pPr>
    <w:rPr>
      <w:rFonts w:ascii="Calibri" w:hAnsi="Calibri" w:cs="Calibri"/>
      <w:szCs w:val="22"/>
    </w:rPr>
  </w:style>
  <w:style w:type="paragraph" w:customStyle="1" w:styleId="62">
    <w:name w:val="06、“1.”正文四级标题"/>
    <w:basedOn w:val="1"/>
    <w:qFormat/>
    <w:uiPriority w:val="0"/>
    <w:pPr>
      <w:numPr>
        <w:ilvl w:val="2"/>
        <w:numId w:val="2"/>
      </w:numPr>
      <w:tabs>
        <w:tab w:val="left" w:pos="0"/>
      </w:tabs>
      <w:wordWrap w:val="0"/>
      <w:topLinePunct/>
      <w:ind w:firstLine="803" w:firstLineChars="200"/>
    </w:pPr>
    <w:rPr>
      <w:snapToGrid w:val="0"/>
    </w:rPr>
  </w:style>
  <w:style w:type="paragraph" w:customStyle="1" w:styleId="63">
    <w:name w:val="样式 首行缩进:  2 字符"/>
    <w:basedOn w:val="1"/>
    <w:qFormat/>
    <w:uiPriority w:val="0"/>
    <w:pPr>
      <w:spacing w:line="400" w:lineRule="exact"/>
      <w:ind w:firstLine="200" w:firstLineChars="200"/>
    </w:pPr>
    <w:rPr>
      <w:rFonts w:cs="宋体"/>
      <w:sz w:val="24"/>
    </w:rPr>
  </w:style>
  <w:style w:type="paragraph" w:customStyle="1" w:styleId="64">
    <w:name w:val="表格"/>
    <w:basedOn w:val="1"/>
    <w:qFormat/>
    <w:uiPriority w:val="0"/>
    <w:pPr>
      <w:spacing w:line="400" w:lineRule="exact"/>
    </w:pPr>
    <w:rPr>
      <w:sz w:val="24"/>
    </w:rPr>
  </w:style>
  <w:style w:type="paragraph" w:customStyle="1" w:styleId="6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6">
    <w:name w:val="_Style 62"/>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7">
    <w:name w:val="Char Char Char Char Char Char Char Char Char Char Char Char Char Char1 Char Char Char Char"/>
    <w:basedOn w:val="1"/>
    <w:qFormat/>
    <w:uiPriority w:val="0"/>
    <w:rPr>
      <w:szCs w:val="21"/>
    </w:rPr>
  </w:style>
  <w:style w:type="character" w:customStyle="1" w:styleId="68">
    <w:name w:val="NormalCharacter"/>
    <w:semiHidden/>
    <w:qFormat/>
    <w:uiPriority w:val="0"/>
    <w:rPr>
      <w:rFonts w:ascii="Calibri" w:hAnsi="Calibri" w:eastAsia="宋体" w:cs="Times New Roman"/>
      <w:kern w:val="2"/>
      <w:sz w:val="21"/>
      <w:szCs w:val="24"/>
      <w:lang w:val="en-US" w:eastAsia="zh-CN" w:bidi="ar-SA"/>
    </w:rPr>
  </w:style>
  <w:style w:type="table" w:customStyle="1" w:styleId="69">
    <w:name w:val="Table Normal"/>
    <w:unhideWhenUsed/>
    <w:qFormat/>
    <w:uiPriority w:val="0"/>
    <w:tblPr>
      <w:tblCellMar>
        <w:top w:w="0" w:type="dxa"/>
        <w:left w:w="0" w:type="dxa"/>
        <w:bottom w:w="0" w:type="dxa"/>
        <w:right w:w="0" w:type="dxa"/>
      </w:tblCellMar>
    </w:tblPr>
  </w:style>
  <w:style w:type="paragraph" w:customStyle="1" w:styleId="70">
    <w:name w:val="列表段落1"/>
    <w:basedOn w:val="60"/>
    <w:qFormat/>
    <w:uiPriority w:val="34"/>
    <w:pPr>
      <w:adjustRightInd/>
      <w:spacing w:line="240" w:lineRule="auto"/>
      <w:textAlignment w:val="auto"/>
    </w:pPr>
    <w:rPr>
      <w:rFonts w:asciiTheme="minorHAnsi" w:hAnsiTheme="minorHAnsi" w:eastAsiaTheme="minorEastAsia"/>
      <w:kern w:val="2"/>
      <w:sz w:val="21"/>
      <w:szCs w:val="22"/>
    </w:rPr>
  </w:style>
  <w:style w:type="character" w:customStyle="1" w:styleId="71">
    <w:name w:val="正文文本 3 字符"/>
    <w:basedOn w:val="35"/>
    <w:link w:val="12"/>
    <w:qFormat/>
    <w:uiPriority w:val="0"/>
    <w:rPr>
      <w:kern w:val="2"/>
      <w:sz w:val="16"/>
      <w:szCs w:val="16"/>
    </w:rPr>
  </w:style>
  <w:style w:type="character" w:customStyle="1" w:styleId="72">
    <w:name w:val="正文文本 字符"/>
    <w:basedOn w:val="35"/>
    <w:link w:val="13"/>
    <w:uiPriority w:val="0"/>
    <w:rPr>
      <w:kern w:val="2"/>
      <w:sz w:val="21"/>
      <w:szCs w:val="24"/>
    </w:rPr>
  </w:style>
  <w:style w:type="character" w:customStyle="1" w:styleId="73">
    <w:name w:val="正文文本首行缩进 字符"/>
    <w:basedOn w:val="72"/>
    <w:link w:val="31"/>
    <w:uiPriority w:val="99"/>
    <w:rPr>
      <w:kern w:val="2"/>
      <w:sz w:val="21"/>
      <w:szCs w:val="24"/>
    </w:rPr>
  </w:style>
  <w:style w:type="character" w:customStyle="1" w:styleId="74">
    <w:name w:val="正文文本首行缩进 2 字符"/>
    <w:basedOn w:val="42"/>
    <w:link w:val="32"/>
    <w:qFormat/>
    <w:uiPriority w:val="0"/>
    <w:rPr>
      <w:rFonts w:eastAsia="宋体"/>
      <w:kern w:val="2"/>
      <w:sz w:val="32"/>
      <w:lang w:val="en-US" w:eastAsia="zh-CN" w:bidi="ar-SA"/>
    </w:rPr>
  </w:style>
  <w:style w:type="character" w:customStyle="1" w:styleId="75">
    <w:name w:val="正文缩进 Char"/>
    <w:semiHidden/>
    <w:locked/>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97</Pages>
  <Words>9065</Words>
  <Characters>51671</Characters>
  <Lines>430</Lines>
  <Paragraphs>121</Paragraphs>
  <TotalTime>9</TotalTime>
  <ScaleCrop>false</ScaleCrop>
  <LinksUpToDate>false</LinksUpToDate>
  <CharactersWithSpaces>60615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2023-11-16T06:56:00Z</dcterms:created>
  <dc:creator>吴正新</dc:creator>
  <cp:lastModifiedBy>金色麦浪</cp:lastModifiedBy>
  <cp:lastPrinted>2018-05-16T07:05:00Z</cp:lastPrinted>
  <dcterms:modified xsi:type="dcterms:W3CDTF">2023-11-16T07:21:23Z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714B384A23B840B8B31E214CD655E9C9_13</vt:lpwstr>
  </property>
</Properties>
</file>